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804" w:rsidRPr="000C3804" w:rsidRDefault="000C3804" w:rsidP="000C3804">
      <w:pPr>
        <w:pStyle w:val="Heading1"/>
        <w:rPr>
          <w:rFonts w:ascii="Times New Roman" w:hAnsi="Times New Roman"/>
          <w:szCs w:val="24"/>
        </w:rPr>
      </w:pPr>
    </w:p>
    <w:p w:rsidR="000C3804" w:rsidRPr="000C3804" w:rsidRDefault="000C3804" w:rsidP="000C3804">
      <w:pPr>
        <w:pStyle w:val="Header"/>
        <w:tabs>
          <w:tab w:val="clear" w:pos="4153"/>
          <w:tab w:val="clear" w:pos="8306"/>
          <w:tab w:val="center" w:pos="6804"/>
        </w:tabs>
        <w:rPr>
          <w:rFonts w:ascii="Times New Roman" w:hAnsi="Times New Roman"/>
          <w:b/>
          <w:szCs w:val="24"/>
          <w:u w:val="single"/>
        </w:rPr>
      </w:pPr>
      <w:r w:rsidRPr="000C3804">
        <w:rPr>
          <w:rFonts w:ascii="Times New Roman" w:hAnsi="Times New Roman"/>
          <w:b/>
          <w:szCs w:val="24"/>
        </w:rPr>
        <w:t>ROMÂNIA</w:t>
      </w:r>
      <w:r w:rsidRPr="000C3804">
        <w:rPr>
          <w:rFonts w:ascii="Times New Roman" w:hAnsi="Times New Roman"/>
          <w:b/>
          <w:szCs w:val="24"/>
        </w:rPr>
        <w:tab/>
      </w:r>
      <w:r w:rsidRPr="000C3804">
        <w:rPr>
          <w:rFonts w:ascii="Times New Roman" w:hAnsi="Times New Roman"/>
          <w:b/>
          <w:szCs w:val="24"/>
          <w:u w:val="single"/>
        </w:rPr>
        <w:t>INIŢIATOR</w:t>
      </w:r>
    </w:p>
    <w:p w:rsidR="000C3804" w:rsidRPr="000C3804" w:rsidRDefault="000C3804" w:rsidP="000C3804">
      <w:pPr>
        <w:pStyle w:val="Header"/>
        <w:tabs>
          <w:tab w:val="clear" w:pos="4153"/>
          <w:tab w:val="clear" w:pos="8306"/>
          <w:tab w:val="center" w:pos="6804"/>
        </w:tabs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b/>
          <w:szCs w:val="24"/>
        </w:rPr>
        <w:t>JUDEŢUL MUREŞ</w:t>
      </w:r>
      <w:r w:rsidRPr="000C3804">
        <w:rPr>
          <w:rFonts w:ascii="Times New Roman" w:hAnsi="Times New Roman"/>
          <w:b/>
          <w:szCs w:val="24"/>
        </w:rPr>
        <w:tab/>
      </w:r>
      <w:r w:rsidRPr="000C3804">
        <w:rPr>
          <w:rFonts w:ascii="Times New Roman" w:hAnsi="Times New Roman"/>
          <w:szCs w:val="24"/>
        </w:rPr>
        <w:t>Primar,</w:t>
      </w:r>
    </w:p>
    <w:p w:rsidR="000C3804" w:rsidRPr="000C3804" w:rsidRDefault="000C3804" w:rsidP="000C3804">
      <w:pPr>
        <w:pStyle w:val="Header"/>
        <w:tabs>
          <w:tab w:val="clear" w:pos="4153"/>
          <w:tab w:val="clear" w:pos="8306"/>
          <w:tab w:val="center" w:pos="6804"/>
        </w:tabs>
        <w:rPr>
          <w:rFonts w:ascii="Times New Roman" w:hAnsi="Times New Roman"/>
          <w:b/>
          <w:szCs w:val="24"/>
        </w:rPr>
      </w:pPr>
      <w:r w:rsidRPr="000C3804">
        <w:rPr>
          <w:rFonts w:ascii="Times New Roman" w:hAnsi="Times New Roman"/>
          <w:b/>
          <w:szCs w:val="24"/>
        </w:rPr>
        <w:t>MUNICIPIUL TÎRGU MUREŞ</w:t>
      </w:r>
      <w:r w:rsidRPr="000C3804">
        <w:rPr>
          <w:rFonts w:ascii="Times New Roman" w:hAnsi="Times New Roman"/>
          <w:b/>
          <w:szCs w:val="24"/>
        </w:rPr>
        <w:tab/>
        <w:t>dr. Dorin Florea</w:t>
      </w:r>
    </w:p>
    <w:p w:rsidR="000C3804" w:rsidRPr="000C3804" w:rsidRDefault="000C3804" w:rsidP="000C3804">
      <w:pPr>
        <w:pStyle w:val="Header"/>
        <w:tabs>
          <w:tab w:val="clear" w:pos="4153"/>
          <w:tab w:val="clear" w:pos="8306"/>
          <w:tab w:val="center" w:pos="6804"/>
        </w:tabs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b/>
          <w:szCs w:val="24"/>
        </w:rPr>
        <w:t>PRIMAR</w:t>
      </w:r>
      <w:r w:rsidRPr="000C3804">
        <w:rPr>
          <w:rFonts w:ascii="Times New Roman" w:hAnsi="Times New Roman"/>
          <w:b/>
          <w:szCs w:val="24"/>
        </w:rPr>
        <w:tab/>
      </w:r>
    </w:p>
    <w:p w:rsidR="000C3804" w:rsidRPr="000C3804" w:rsidRDefault="000C3804" w:rsidP="000C3804">
      <w:pPr>
        <w:pStyle w:val="Header"/>
        <w:rPr>
          <w:rFonts w:ascii="Times New Roman" w:hAnsi="Times New Roman"/>
          <w:b/>
          <w:szCs w:val="24"/>
        </w:rPr>
      </w:pPr>
      <w:r w:rsidRPr="000C3804">
        <w:rPr>
          <w:rFonts w:ascii="Times New Roman" w:hAnsi="Times New Roman"/>
          <w:b/>
          <w:szCs w:val="24"/>
        </w:rPr>
        <w:t>ARHITECT ŞEF</w:t>
      </w:r>
    </w:p>
    <w:p w:rsidR="000C3804" w:rsidRPr="000C3804" w:rsidRDefault="000C3804" w:rsidP="000C3804">
      <w:pPr>
        <w:pStyle w:val="Header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>Serviciul Urbanism, Amenajarea Teritoriului şi Gestiune Date Urbane</w:t>
      </w:r>
    </w:p>
    <w:p w:rsidR="000C3804" w:rsidRPr="000C3804" w:rsidRDefault="000C3804" w:rsidP="000C3804">
      <w:pPr>
        <w:pStyle w:val="Header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>Nr. 9774 din 11.05.2010</w:t>
      </w:r>
    </w:p>
    <w:p w:rsidR="000C3804" w:rsidRPr="000C3804" w:rsidRDefault="000C3804" w:rsidP="000C3804">
      <w:pPr>
        <w:pStyle w:val="Header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 xml:space="preserve">      </w:t>
      </w:r>
    </w:p>
    <w:p w:rsidR="000C3804" w:rsidRPr="000C3804" w:rsidRDefault="000C3804" w:rsidP="000C3804">
      <w:pPr>
        <w:pStyle w:val="Heading1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>Expunere de motive</w:t>
      </w:r>
    </w:p>
    <w:p w:rsidR="000C3804" w:rsidRPr="000C3804" w:rsidRDefault="000C3804" w:rsidP="000C3804">
      <w:pPr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susţinerea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</w:p>
    <w:p w:rsidR="000C3804" w:rsidRPr="000C3804" w:rsidRDefault="000C3804" w:rsidP="000C38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>”</w:t>
      </w:r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Plan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Detaliu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-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studiu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amplasament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locuinţă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unifamilială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str. </w:t>
      </w:r>
      <w:proofErr w:type="spellStart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b/>
          <w:bCs/>
          <w:iCs/>
          <w:sz w:val="24"/>
          <w:szCs w:val="24"/>
        </w:rPr>
        <w:t>, f.nr.”</w:t>
      </w:r>
      <w:proofErr w:type="gram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3804" w:rsidRPr="000C3804" w:rsidRDefault="000C3804" w:rsidP="000C38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Beniamin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Lenuţa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Mariana</w:t>
      </w:r>
    </w:p>
    <w:p w:rsid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proprietarilor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2600mp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străzii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CF nr.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 xml:space="preserve">121701-Tg.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1650, s-a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nr. 1436/2009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întocmire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fundamentării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amplasării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case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PUZ–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rezidenţială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cartier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Unirii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HCL nr. 31/07.02.2008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UTR „L2cz” –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subzona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P+1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aliniament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izolat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grupat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extinderi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„PUZ”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prevede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: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funcţiuni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: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funcţiunea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;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funcţiuni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condiţionări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condiţionată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existenţa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PUZ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PUD,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construibile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dispunere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izolat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minimă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350mp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front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minim14m;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aliniamente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clădirile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aliniament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conform PUZ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PUD cu o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distanţă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minim 5,0m;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construcţiile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retrage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cornişă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3,0m;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retragerea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posterioară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egală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jumătate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cornişă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măsurată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înalt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smartTag w:uri="urn:schemas-microsoft-com:office:smarttags" w:element="metricconverter">
        <w:smartTagPr>
          <w:attr w:name="ProductID" w:val="5,0 metri"/>
        </w:smartTagPr>
        <w:r w:rsidRPr="000C3804">
          <w:rPr>
            <w:rFonts w:ascii="Times New Roman" w:hAnsi="Times New Roman" w:cs="Times New Roman"/>
            <w:sz w:val="24"/>
            <w:szCs w:val="24"/>
          </w:rPr>
          <w:t xml:space="preserve">5,0 </w:t>
        </w:r>
        <w:proofErr w:type="spellStart"/>
        <w:r w:rsidRPr="000C3804">
          <w:rPr>
            <w:rFonts w:ascii="Times New Roman" w:hAnsi="Times New Roman" w:cs="Times New Roman"/>
            <w:sz w:val="24"/>
            <w:szCs w:val="24"/>
          </w:rPr>
          <w:t>metri</w:t>
        </w:r>
      </w:smartTag>
      <w:proofErr w:type="spellEnd"/>
      <w:r w:rsidRPr="000C3804">
        <w:rPr>
          <w:rFonts w:ascii="Times New Roman" w:hAnsi="Times New Roman" w:cs="Times New Roman"/>
          <w:sz w:val="24"/>
          <w:szCs w:val="24"/>
        </w:rPr>
        <w:t>;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Staţionarea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autovehiculelor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numai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circulaţiile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;</w:t>
      </w:r>
    </w:p>
    <w:p w:rsidR="000C3804" w:rsidRPr="000C3804" w:rsidRDefault="000C3804" w:rsidP="000C380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= 35%,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=0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(P+1)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0,9 (P+2),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max P+2(</w:t>
      </w:r>
      <w:smartTag w:uri="urn:schemas-microsoft-com:office:smarttags" w:element="metricconverter">
        <w:smartTagPr>
          <w:attr w:name="ProductID" w:val="10 metri"/>
        </w:smartTagPr>
        <w:r w:rsidRPr="000C3804">
          <w:rPr>
            <w:rFonts w:ascii="Times New Roman" w:hAnsi="Times New Roman" w:cs="Times New Roman"/>
            <w:sz w:val="24"/>
            <w:szCs w:val="24"/>
          </w:rPr>
          <w:t xml:space="preserve">10 </w:t>
        </w:r>
        <w:proofErr w:type="spellStart"/>
        <w:r w:rsidRPr="000C3804">
          <w:rPr>
            <w:rFonts w:ascii="Times New Roman" w:hAnsi="Times New Roman" w:cs="Times New Roman"/>
            <w:sz w:val="24"/>
            <w:szCs w:val="24"/>
          </w:rPr>
          <w:t>metri</w:t>
        </w:r>
      </w:smartTag>
      <w:proofErr w:type="spellEnd"/>
      <w:r w:rsidRPr="000C3804">
        <w:rPr>
          <w:rFonts w:ascii="Times New Roman" w:hAnsi="Times New Roman" w:cs="Times New Roman"/>
          <w:sz w:val="24"/>
          <w:szCs w:val="24"/>
        </w:rPr>
        <w:t>).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mobilarea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descrise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individuală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P+1E,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dispusă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izolat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retrasă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la front la 15,0m, la 4,0m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laterală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stânga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cca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6,0m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laterală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dreapta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pietonal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drum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modernizare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7,0m;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lastRenderedPageBreak/>
        <w:t>coamă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costrucţiei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=8,5m;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Hmax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=10m);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POTpr.parcelă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mobilată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=3,55%;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=35%;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CUTpr.parcelă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mobilată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=0,071;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=0,6(P+1)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0,9(P+2).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donarea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 xml:space="preserve">public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cotelor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modernizării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drum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PUZ”Unirii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PUD.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interdicţie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fâşiile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loturile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are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geotehnic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stabilirii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fundare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cnform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nivelului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forate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ridicat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freaice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posibilă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subsol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situaţie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topografic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viat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OCPI,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deţinătorilor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emise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SC”Compania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Aquaserv”SA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SC”Electrica”SA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SC „ E On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Gaz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Distribuţie”SA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SC”Romtelecom”SA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Situaţii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Urgenţă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Horea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Agenţia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declaraţia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autentificată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titularilor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PUD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cheltuială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reţelelor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utilităţi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donarea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drumului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autentificat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vecin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stânga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Întrucât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încadrează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local de urbanism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„PUZ-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rezidenţială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cartier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Unirii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propunem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r w:rsidRPr="000C3804">
        <w:rPr>
          <w:rFonts w:ascii="Times New Roman" w:hAnsi="Times New Roman" w:cs="Times New Roman"/>
          <w:b/>
          <w:sz w:val="24"/>
          <w:szCs w:val="24"/>
        </w:rPr>
        <w:t xml:space="preserve">„Plan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Detaliu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studiu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amplasament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locuinţă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unifamilială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fnr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>.”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titularul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donării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corpuluo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drum conform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conţinu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 nr.84/2010.</w:t>
      </w: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left="7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Aviz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favorabil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al </w:t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,</w:t>
      </w:r>
    </w:p>
    <w:p w:rsidR="000C3804" w:rsidRPr="000C3804" w:rsidRDefault="000C3804" w:rsidP="000C3804">
      <w:pPr>
        <w:ind w:left="4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>COMPARTIMENTULUI DE RESORT</w:t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Dumitru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Luiza</w:t>
      </w:r>
      <w:proofErr w:type="spellEnd"/>
    </w:p>
    <w:p w:rsidR="000C3804" w:rsidRPr="000C3804" w:rsidRDefault="000C3804" w:rsidP="000C3804">
      <w:pPr>
        <w:ind w:left="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arh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Miheţ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Florina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Daniela</w:t>
      </w:r>
    </w:p>
    <w:p w:rsidR="000C3804" w:rsidRPr="000C3804" w:rsidRDefault="000C3804" w:rsidP="000C3804">
      <w:pPr>
        <w:ind w:left="7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804" w:rsidRPr="000C3804" w:rsidRDefault="000C3804" w:rsidP="000C3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lastRenderedPageBreak/>
        <w:t>ROMÂNIA</w:t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proiect</w:t>
      </w:r>
      <w:proofErr w:type="spellEnd"/>
    </w:p>
    <w:p w:rsidR="000C3804" w:rsidRPr="000C3804" w:rsidRDefault="000C3804" w:rsidP="000C3804">
      <w:pPr>
        <w:pStyle w:val="Header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>JUDEŢUL MUREŞ</w:t>
      </w:r>
    </w:p>
    <w:p w:rsidR="000C3804" w:rsidRPr="000C3804" w:rsidRDefault="000C3804" w:rsidP="000C3804">
      <w:pPr>
        <w:pStyle w:val="Header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Cs w:val="24"/>
        </w:rPr>
      </w:pPr>
      <w:r w:rsidRPr="000C3804">
        <w:rPr>
          <w:rFonts w:ascii="Times New Roman" w:hAnsi="Times New Roman"/>
          <w:szCs w:val="24"/>
        </w:rPr>
        <w:t>CONSILIUL MUNICIPAL TÎRGU-MUREŞ</w:t>
      </w:r>
    </w:p>
    <w:p w:rsidR="000C3804" w:rsidRPr="000C3804" w:rsidRDefault="000C3804" w:rsidP="000C38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 xml:space="preserve">H O T Ă R Â </w:t>
      </w:r>
      <w:r w:rsidRPr="000C3804">
        <w:rPr>
          <w:rFonts w:ascii="Times New Roman" w:hAnsi="Times New Roman" w:cs="Times New Roman"/>
          <w:b/>
          <w:sz w:val="24"/>
          <w:szCs w:val="24"/>
          <w:lang w:val="fr-FR"/>
        </w:rPr>
        <w:t>R E A     nr.</w:t>
      </w:r>
      <w:proofErr w:type="gramEnd"/>
      <w:r w:rsidRPr="000C380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________</w:t>
      </w: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0C3804">
        <w:rPr>
          <w:rFonts w:ascii="Times New Roman" w:hAnsi="Times New Roman" w:cs="Times New Roman"/>
          <w:b/>
          <w:sz w:val="24"/>
          <w:szCs w:val="24"/>
          <w:lang w:val="fr-FR"/>
        </w:rPr>
        <w:t>din</w:t>
      </w:r>
      <w:proofErr w:type="spellEnd"/>
      <w:proofErr w:type="gramEnd"/>
      <w:r w:rsidRPr="000C3804">
        <w:rPr>
          <w:rFonts w:ascii="Times New Roman" w:hAnsi="Times New Roman" w:cs="Times New Roman"/>
          <w:b/>
          <w:sz w:val="24"/>
          <w:szCs w:val="24"/>
          <w:lang w:val="fr-FR"/>
        </w:rPr>
        <w:t xml:space="preserve"> _____________________2010</w:t>
      </w: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</w:t>
      </w: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 xml:space="preserve">„Plan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Detaliu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studiu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amplasament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locuinţă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unifamilială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fnr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>.”</w:t>
      </w:r>
      <w:proofErr w:type="gramEnd"/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Beniamin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Lenuţa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Mariana</w:t>
      </w: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întrunit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ordinară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,</w:t>
      </w:r>
    </w:p>
    <w:p w:rsidR="000C3804" w:rsidRPr="000C3804" w:rsidRDefault="000C3804" w:rsidP="000C380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nr. 9774 din 11.05.2010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r w:rsidRPr="000C3804">
        <w:rPr>
          <w:rFonts w:ascii="Times New Roman" w:hAnsi="Times New Roman" w:cs="Times New Roman"/>
          <w:b/>
          <w:i/>
          <w:sz w:val="24"/>
          <w:szCs w:val="24"/>
        </w:rPr>
        <w:t>”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Arhitect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Şef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>”</w:t>
      </w:r>
      <w:r w:rsidRPr="000C38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întocmire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</w:t>
      </w:r>
      <w:r w:rsidRPr="000C3804">
        <w:rPr>
          <w:rFonts w:ascii="Times New Roman" w:hAnsi="Times New Roman" w:cs="Times New Roman"/>
          <w:b/>
          <w:sz w:val="24"/>
          <w:szCs w:val="24"/>
        </w:rPr>
        <w:t xml:space="preserve">„Plan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Detaliu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studiu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amplasament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locuinţă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unifamilială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fnr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>.”</w:t>
      </w:r>
    </w:p>
    <w:p w:rsidR="000C3804" w:rsidRPr="000C3804" w:rsidRDefault="000C3804" w:rsidP="000C38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804" w:rsidRPr="000C3804" w:rsidRDefault="000C3804" w:rsidP="000C3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art.8,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nr.50/1991***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executării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construcţii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art.25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(1), art.26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art.56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(1)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nr.350/2001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amenajarea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urbanismul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,</w:t>
      </w:r>
    </w:p>
    <w:p w:rsidR="000C3804" w:rsidRPr="000C3804" w:rsidRDefault="000C3804" w:rsidP="000C38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(1),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litera”c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litera”e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(5)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lit”c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”, art. 45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lit”e”şi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art.115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lit”b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nr.215/2001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3804" w:rsidRPr="000C3804" w:rsidRDefault="000C3804" w:rsidP="000C38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 xml:space="preserve">H o t ă r ă ş t </w:t>
      </w: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0C3804" w:rsidRPr="000C3804" w:rsidRDefault="000C3804" w:rsidP="000C38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>Art.1.</w:t>
      </w:r>
      <w:r w:rsidRPr="000C380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</w:t>
      </w:r>
      <w:r w:rsidRPr="000C3804">
        <w:rPr>
          <w:rFonts w:ascii="Times New Roman" w:hAnsi="Times New Roman" w:cs="Times New Roman"/>
          <w:b/>
          <w:sz w:val="24"/>
          <w:szCs w:val="24"/>
        </w:rPr>
        <w:t xml:space="preserve">„Plan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Urbanistic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Detaliu-studiu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amplasament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locuinţă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unifamilială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zona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str.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Remetea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fnr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.”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terenul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suprafaţă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de 2600mp,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proprietatea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privată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lui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Beniamin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Cernat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Lenuţa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Mariana (1/1),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identificat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ca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cel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înscris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C3804">
        <w:rPr>
          <w:rFonts w:ascii="Times New Roman" w:hAnsi="Times New Roman" w:cs="Times New Roman"/>
          <w:sz w:val="24"/>
          <w:szCs w:val="24"/>
        </w:rPr>
        <w:t>CF nr.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 xml:space="preserve">121701-Tg.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cadastral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1650, </w:t>
      </w:r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cu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reglementările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cuprinse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proiectul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nr. </w:t>
      </w:r>
      <w:proofErr w:type="gram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316/2010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întocmit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SC”Via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Modul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”,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arh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urbanist</w:t>
      </w:r>
      <w:proofErr w:type="spellEnd"/>
      <w:proofErr w:type="gram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Maria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Dragotă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proiect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anexat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care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împreună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avizele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acordurile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prezentate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face parte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integrantă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din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prezenta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hotărâre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>Art.2.</w:t>
      </w:r>
      <w:r w:rsidRPr="000C3804">
        <w:rPr>
          <w:rFonts w:ascii="Times New Roman" w:hAnsi="Times New Roman" w:cs="Times New Roman"/>
          <w:sz w:val="24"/>
          <w:szCs w:val="24"/>
        </w:rPr>
        <w:t xml:space="preserve">Prezenta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intră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condiţii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: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zonă-UTR”L2cz”-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subzona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locuinţelor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individuale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colective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P+1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niveluri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retrase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aliniament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regim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izolat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grupat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noile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extinderi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urbanistici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: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Aliniamente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:retragere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de la front- conform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planşă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A/3, la min 3,0m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</w:p>
    <w:p w:rsidR="000C3804" w:rsidRPr="000C3804" w:rsidRDefault="000C3804" w:rsidP="000C3804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limitele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laterale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parcelei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minim 5,0m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posterioară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lotului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;</w:t>
      </w:r>
    </w:p>
    <w:p w:rsidR="000C3804" w:rsidRPr="000C3804" w:rsidRDefault="000C3804" w:rsidP="000C3804">
      <w:pPr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Înălţime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construcţie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10m); </w:t>
      </w:r>
    </w:p>
    <w:p w:rsidR="000C3804" w:rsidRPr="000C3804" w:rsidRDefault="000C3804" w:rsidP="000C3804">
      <w:pPr>
        <w:spacing w:after="0" w:line="360" w:lineRule="auto"/>
        <w:ind w:left="21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Posibilităţi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maxime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ocupare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utilizare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bCs/>
          <w:iCs/>
          <w:sz w:val="24"/>
          <w:szCs w:val="24"/>
        </w:rPr>
        <w:t>terenului</w:t>
      </w:r>
      <w:proofErr w:type="spellEnd"/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:  </w:t>
      </w:r>
    </w:p>
    <w:p w:rsidR="000C3804" w:rsidRPr="000C3804" w:rsidRDefault="000C3804" w:rsidP="000C3804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=35%;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=0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(P+1)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0,9(P+2)</w:t>
      </w:r>
    </w:p>
    <w:p w:rsidR="000C3804" w:rsidRPr="000C3804" w:rsidRDefault="000C3804" w:rsidP="000C3804">
      <w:pPr>
        <w:spacing w:after="0" w:line="360" w:lineRule="auto"/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Anterior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solicitării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autorizaţiei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titularii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tehnico-juridice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donării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realizării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drum conform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 nr.84/2010.</w:t>
      </w:r>
    </w:p>
    <w:p w:rsidR="000C3804" w:rsidRPr="000C3804" w:rsidRDefault="000C3804" w:rsidP="000C3804">
      <w:pPr>
        <w:spacing w:after="0" w:line="360" w:lineRule="auto"/>
        <w:ind w:left="283" w:firstLine="441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>Art.3.</w:t>
      </w:r>
      <w:r w:rsidRPr="000C3804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instituie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interdicţie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construire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fâşiile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imobilelor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corpurilor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stradă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PUZ”Unirii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PUD.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3804">
        <w:rPr>
          <w:rFonts w:ascii="Times New Roman" w:hAnsi="Times New Roman" w:cs="Times New Roman"/>
          <w:b/>
          <w:sz w:val="24"/>
          <w:szCs w:val="24"/>
        </w:rPr>
        <w:t>Art.4.</w:t>
      </w:r>
      <w:r w:rsidRPr="000C3804">
        <w:rPr>
          <w:rFonts w:ascii="Times New Roman" w:hAnsi="Times New Roman" w:cs="Times New Roman"/>
          <w:sz w:val="24"/>
          <w:szCs w:val="24"/>
        </w:rPr>
        <w:t xml:space="preserve">Prevederile PUG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zonei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>Art.5.</w:t>
      </w:r>
      <w:r w:rsidRPr="000C3804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hotărâri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documentaţiei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urbanism se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însărcinează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Florea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Arhitect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C380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Viză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0C3804" w:rsidRPr="000C3804" w:rsidRDefault="000C3804" w:rsidP="000C38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Secretarul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municipiului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b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C3804" w:rsidRPr="000C3804" w:rsidRDefault="000C3804" w:rsidP="000C3804">
      <w:pPr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                  Maria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Cioban</w:t>
      </w:r>
      <w:proofErr w:type="spellEnd"/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61 din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local municipal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Mureş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Comisiile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deliberative,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cu art.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 xml:space="preserve">54,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(4)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nr. 215/2001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prezintă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:</w:t>
      </w:r>
    </w:p>
    <w:p w:rsidR="000C3804" w:rsidRPr="000C3804" w:rsidRDefault="000C3804" w:rsidP="000C3804">
      <w:pPr>
        <w:pStyle w:val="BodyTextIndent"/>
        <w:ind w:firstLine="0"/>
        <w:rPr>
          <w:rFonts w:ascii="Times New Roman" w:hAnsi="Times New Roman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prognoze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economico-sociale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buget-finanţe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pStyle w:val="BodyTextIndent2"/>
        <w:rPr>
          <w:rFonts w:ascii="Times New Roman" w:hAnsi="Times New Roman"/>
          <w:b w:val="0"/>
          <w:sz w:val="24"/>
          <w:szCs w:val="24"/>
        </w:rPr>
      </w:pPr>
      <w:r w:rsidRPr="000C3804">
        <w:rPr>
          <w:rFonts w:ascii="Times New Roman" w:hAnsi="Times New Roman"/>
          <w:b w:val="0"/>
          <w:sz w:val="24"/>
          <w:szCs w:val="24"/>
        </w:rPr>
        <w:t xml:space="preserve">        Preşedinte</w:t>
      </w:r>
      <w:r w:rsidRPr="000C3804">
        <w:rPr>
          <w:rFonts w:ascii="Times New Roman" w:hAnsi="Times New Roman"/>
          <w:b w:val="0"/>
          <w:sz w:val="24"/>
          <w:szCs w:val="24"/>
        </w:rPr>
        <w:tab/>
      </w:r>
      <w:r w:rsidRPr="000C3804">
        <w:rPr>
          <w:rFonts w:ascii="Times New Roman" w:hAnsi="Times New Roman"/>
          <w:b w:val="0"/>
          <w:sz w:val="24"/>
          <w:szCs w:val="24"/>
        </w:rPr>
        <w:tab/>
      </w:r>
      <w:r w:rsidRPr="000C3804">
        <w:rPr>
          <w:rFonts w:ascii="Times New Roman" w:hAnsi="Times New Roman"/>
          <w:b w:val="0"/>
          <w:sz w:val="24"/>
          <w:szCs w:val="24"/>
        </w:rPr>
        <w:tab/>
      </w:r>
      <w:r w:rsidRPr="000C3804">
        <w:rPr>
          <w:rFonts w:ascii="Times New Roman" w:hAnsi="Times New Roman"/>
          <w:b w:val="0"/>
          <w:sz w:val="24"/>
          <w:szCs w:val="24"/>
        </w:rPr>
        <w:tab/>
      </w:r>
      <w:r w:rsidRPr="000C3804">
        <w:rPr>
          <w:rFonts w:ascii="Times New Roman" w:hAnsi="Times New Roman"/>
          <w:b w:val="0"/>
          <w:sz w:val="24"/>
          <w:szCs w:val="24"/>
        </w:rPr>
        <w:tab/>
      </w:r>
      <w:r w:rsidRPr="000C3804">
        <w:rPr>
          <w:rFonts w:ascii="Times New Roman" w:hAnsi="Times New Roman"/>
          <w:b w:val="0"/>
          <w:sz w:val="24"/>
          <w:szCs w:val="24"/>
        </w:rPr>
        <w:tab/>
        <w:t xml:space="preserve">        Secretar</w:t>
      </w:r>
    </w:p>
    <w:p w:rsidR="000C3804" w:rsidRPr="000C3804" w:rsidRDefault="000C3804" w:rsidP="000C380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Kolozsvári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Zoltán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Csaba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prof.Matei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Dumitru</w:t>
      </w:r>
      <w:proofErr w:type="spell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arhitectură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ing</w:t>
      </w:r>
      <w:proofErr w:type="spellEnd"/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Törzsök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Sándor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László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Sergiu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Claudiu</w:t>
      </w:r>
      <w:proofErr w:type="spell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proofErr w:type="spellStart"/>
      <w:proofErr w:type="gramStart"/>
      <w:r w:rsidRPr="000C3804">
        <w:rPr>
          <w:rFonts w:ascii="Times New Roman" w:hAnsi="Times New Roman" w:cs="Times New Roman"/>
          <w:color w:val="FFFFFF"/>
          <w:sz w:val="24"/>
          <w:szCs w:val="24"/>
        </w:rPr>
        <w:t>ing</w:t>
      </w:r>
      <w:proofErr w:type="spellEnd"/>
      <w:proofErr w:type="gramEnd"/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. </w:t>
      </w:r>
      <w:proofErr w:type="spellStart"/>
      <w:proofErr w:type="gramStart"/>
      <w:r w:rsidRPr="000C3804">
        <w:rPr>
          <w:rFonts w:ascii="Times New Roman" w:hAnsi="Times New Roman" w:cs="Times New Roman"/>
          <w:color w:val="FFFFFF"/>
          <w:sz w:val="24"/>
          <w:szCs w:val="24"/>
        </w:rPr>
        <w:t>Torzsok</w:t>
      </w:r>
      <w:proofErr w:type="spellEnd"/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FFFFFF"/>
          <w:sz w:val="24"/>
          <w:szCs w:val="24"/>
        </w:rPr>
        <w:t>Saoaszlo</w:t>
      </w:r>
      <w:proofErr w:type="spellEnd"/>
      <w:r w:rsidRPr="000C3804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FFFFFF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FFFFFF"/>
          <w:sz w:val="24"/>
          <w:szCs w:val="24"/>
        </w:rPr>
        <w:tab/>
        <w:t xml:space="preserve"> </w:t>
      </w:r>
      <w:proofErr w:type="spellStart"/>
      <w:r w:rsidRPr="000C3804">
        <w:rPr>
          <w:rFonts w:ascii="Times New Roman" w:hAnsi="Times New Roman" w:cs="Times New Roman"/>
          <w:color w:val="FFFFFF"/>
          <w:sz w:val="24"/>
          <w:szCs w:val="24"/>
        </w:rPr>
        <w:t>ing</w:t>
      </w:r>
      <w:proofErr w:type="spellEnd"/>
      <w:r w:rsidRPr="000C3804">
        <w:rPr>
          <w:rFonts w:ascii="Times New Roman" w:hAnsi="Times New Roman" w:cs="Times New Roman"/>
          <w:color w:val="FFFFFF"/>
          <w:sz w:val="24"/>
          <w:szCs w:val="24"/>
        </w:rPr>
        <w:t>.</w:t>
      </w:r>
      <w:proofErr w:type="gramEnd"/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FFFFFF"/>
          <w:sz w:val="24"/>
          <w:szCs w:val="24"/>
        </w:rPr>
        <w:t>Moraru</w:t>
      </w:r>
      <w:proofErr w:type="spellEnd"/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 Octavian</w:t>
      </w: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3. </w:t>
      </w:r>
      <w:r w:rsidRPr="000C3804">
        <w:rPr>
          <w:rFonts w:ascii="Times New Roman" w:hAnsi="Times New Roman" w:cs="Times New Roman"/>
          <w:sz w:val="24"/>
          <w:szCs w:val="24"/>
          <w:lang w:val="hu-HU"/>
        </w:rPr>
        <w:t>Comisia pentru servicii publice şi comerţ.</w:t>
      </w: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0C3804">
        <w:rPr>
          <w:rFonts w:ascii="Times New Roman" w:hAnsi="Times New Roman" w:cs="Times New Roman"/>
          <w:color w:val="FFFFFF"/>
          <w:sz w:val="24"/>
          <w:szCs w:val="24"/>
        </w:rPr>
        <w:t xml:space="preserve">      </w:t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proofErr w:type="gram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jrs</w:t>
      </w:r>
      <w:proofErr w:type="spellEnd"/>
      <w:proofErr w:type="gram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Vlas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Florin</w:t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C380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psih.Roman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color w:val="000000"/>
          <w:sz w:val="24"/>
          <w:szCs w:val="24"/>
        </w:rPr>
        <w:t>Ioana</w:t>
      </w:r>
      <w:proofErr w:type="spellEnd"/>
      <w:r w:rsidRPr="000C3804">
        <w:rPr>
          <w:rFonts w:ascii="Times New Roman" w:hAnsi="Times New Roman" w:cs="Times New Roman"/>
          <w:color w:val="000000"/>
          <w:sz w:val="24"/>
          <w:szCs w:val="24"/>
        </w:rPr>
        <w:t xml:space="preserve"> Dana</w:t>
      </w: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proofErr w:type="spellStart"/>
      <w:proofErr w:type="gramStart"/>
      <w:r w:rsidRPr="000C3804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C3804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Ioan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Pr="000C3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Bálint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Ştefan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cetăţeneşti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minorităţi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culte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>.</w:t>
      </w: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804" w:rsidRPr="000C3804" w:rsidRDefault="000C3804" w:rsidP="000C380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C3804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r w:rsidRPr="000C38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C3804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C321B3" w:rsidRPr="000C3804" w:rsidRDefault="000C3804" w:rsidP="000C3804">
      <w:pPr>
        <w:jc w:val="both"/>
        <w:rPr>
          <w:rFonts w:ascii="Times New Roman" w:hAnsi="Times New Roman" w:cs="Times New Roman"/>
          <w:sz w:val="24"/>
          <w:szCs w:val="24"/>
        </w:rPr>
      </w:pPr>
      <w:r w:rsidRPr="000C380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C3804">
        <w:rPr>
          <w:rFonts w:ascii="Times New Roman" w:hAnsi="Times New Roman" w:cs="Times New Roman"/>
          <w:color w:val="FFFFFF"/>
          <w:sz w:val="24"/>
          <w:szCs w:val="24"/>
          <w:lang w:val="en-GB"/>
        </w:rPr>
        <w:t>_    _</w:t>
      </w:r>
      <w:proofErr w:type="spellStart"/>
      <w:r w:rsidRPr="000C3804">
        <w:rPr>
          <w:rFonts w:ascii="Times New Roman" w:hAnsi="Times New Roman" w:cs="Times New Roman"/>
          <w:sz w:val="24"/>
          <w:szCs w:val="24"/>
          <w:lang w:val="en-GB"/>
        </w:rPr>
        <w:t>jrs.Peti</w:t>
      </w:r>
      <w:proofErr w:type="spellEnd"/>
      <w:r w:rsidRPr="000C3804">
        <w:rPr>
          <w:rFonts w:ascii="Times New Roman" w:hAnsi="Times New Roman" w:cs="Times New Roman"/>
          <w:sz w:val="24"/>
          <w:szCs w:val="24"/>
          <w:lang w:val="en-GB"/>
        </w:rPr>
        <w:t xml:space="preserve"> Andrei</w:t>
      </w:r>
      <w:r w:rsidRPr="000C3804">
        <w:rPr>
          <w:rFonts w:ascii="Times New Roman" w:hAnsi="Times New Roman" w:cs="Times New Roman"/>
          <w:sz w:val="24"/>
          <w:szCs w:val="24"/>
          <w:lang w:val="en-GB"/>
        </w:rPr>
        <w:tab/>
      </w:r>
    </w:p>
    <w:sectPr w:rsidR="00C321B3" w:rsidRPr="000C3804" w:rsidSect="00B7078B">
      <w:pgSz w:w="11906" w:h="16838" w:code="9"/>
      <w:pgMar w:top="284" w:right="991" w:bottom="1440" w:left="1701" w:header="1418" w:footer="781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7120A"/>
    <w:multiLevelType w:val="hybridMultilevel"/>
    <w:tmpl w:val="74A2F6B4"/>
    <w:lvl w:ilvl="0" w:tplc="04180001">
      <w:start w:val="1"/>
      <w:numFmt w:val="bullet"/>
      <w:lvlText w:val=""/>
      <w:lvlJc w:val="left"/>
      <w:pPr>
        <w:tabs>
          <w:tab w:val="num" w:pos="1444"/>
        </w:tabs>
        <w:ind w:left="14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C3804"/>
    <w:rsid w:val="000C3804"/>
    <w:rsid w:val="00C3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C3804"/>
    <w:pPr>
      <w:keepNext/>
      <w:spacing w:after="0" w:line="240" w:lineRule="auto"/>
      <w:jc w:val="center"/>
      <w:outlineLvl w:val="0"/>
    </w:pPr>
    <w:rPr>
      <w:rFonts w:ascii="Umbra BT" w:eastAsia="Umbra BT" w:hAnsi="Umbra BT" w:cs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3804"/>
    <w:rPr>
      <w:rFonts w:ascii="Umbra BT" w:eastAsia="Umbra BT" w:hAnsi="Umbra BT" w:cs="Times New Roman"/>
      <w:b/>
      <w:sz w:val="24"/>
      <w:szCs w:val="20"/>
      <w:lang w:val="ro-RO" w:eastAsia="ro-RO"/>
    </w:rPr>
  </w:style>
  <w:style w:type="paragraph" w:styleId="Header">
    <w:name w:val="header"/>
    <w:basedOn w:val="Normal"/>
    <w:link w:val="HeaderChar"/>
    <w:rsid w:val="000C3804"/>
    <w:pPr>
      <w:tabs>
        <w:tab w:val="center" w:pos="4153"/>
        <w:tab w:val="right" w:pos="8306"/>
      </w:tabs>
      <w:spacing w:after="0" w:line="240" w:lineRule="auto"/>
    </w:pPr>
    <w:rPr>
      <w:rFonts w:ascii="Umbra BT" w:eastAsia="Umbra BT" w:hAnsi="Umbra BT" w:cs="Times New Roman"/>
      <w:sz w:val="24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0C3804"/>
    <w:rPr>
      <w:rFonts w:ascii="Umbra BT" w:eastAsia="Umbra BT" w:hAnsi="Umbra BT" w:cs="Times New Roman"/>
      <w:sz w:val="24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0C3804"/>
    <w:pPr>
      <w:spacing w:before="120" w:after="0" w:line="240" w:lineRule="auto"/>
      <w:ind w:firstLine="720"/>
      <w:jc w:val="both"/>
    </w:pPr>
    <w:rPr>
      <w:rFonts w:ascii="Umbra BT" w:eastAsia="Umbra BT" w:hAnsi="Umbra BT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0C3804"/>
    <w:rPr>
      <w:rFonts w:ascii="Umbra BT" w:eastAsia="Umbra BT" w:hAnsi="Umbra BT" w:cs="Times New Roman"/>
      <w:sz w:val="24"/>
      <w:szCs w:val="20"/>
      <w:lang w:val="ro-RO" w:eastAsia="ro-RO"/>
    </w:rPr>
  </w:style>
  <w:style w:type="paragraph" w:styleId="BodyTextIndent2">
    <w:name w:val="Body Text Indent 2"/>
    <w:aliases w:val=" Char,Char"/>
    <w:basedOn w:val="Normal"/>
    <w:link w:val="BodyTextIndent2Char"/>
    <w:rsid w:val="000C3804"/>
    <w:pPr>
      <w:spacing w:before="120" w:after="0" w:line="240" w:lineRule="auto"/>
      <w:ind w:firstLine="720"/>
      <w:jc w:val="both"/>
    </w:pPr>
    <w:rPr>
      <w:rFonts w:ascii="Umbra BT" w:eastAsia="Umbra BT" w:hAnsi="Umbra BT" w:cs="Times New Roman"/>
      <w:b/>
      <w:sz w:val="46"/>
      <w:szCs w:val="20"/>
      <w:lang w:val="ro-RO" w:eastAsia="ro-RO"/>
    </w:rPr>
  </w:style>
  <w:style w:type="character" w:customStyle="1" w:styleId="BodyTextIndent2Char">
    <w:name w:val="Body Text Indent 2 Char"/>
    <w:aliases w:val=" Char Char,Char Char"/>
    <w:basedOn w:val="DefaultParagraphFont"/>
    <w:link w:val="BodyTextIndent2"/>
    <w:rsid w:val="000C3804"/>
    <w:rPr>
      <w:rFonts w:ascii="Umbra BT" w:eastAsia="Umbra BT" w:hAnsi="Umbra BT" w:cs="Times New Roman"/>
      <w:b/>
      <w:sz w:val="46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2010-05-17T08:39:00Z</dcterms:created>
  <dcterms:modified xsi:type="dcterms:W3CDTF">2010-05-17T08:41:00Z</dcterms:modified>
</cp:coreProperties>
</file>