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D7" w:rsidRPr="00966EE0" w:rsidRDefault="00FC03D7" w:rsidP="00FC03D7">
      <w:pPr>
        <w:pBdr>
          <w:bottom w:val="threeDEngrave" w:sz="12" w:space="1" w:color="auto"/>
        </w:pBdr>
        <w:spacing w:after="0" w:line="240" w:lineRule="auto"/>
        <w:rPr>
          <w:rFonts w:cs="Arial"/>
          <w:b/>
          <w:sz w:val="16"/>
          <w:szCs w:val="16"/>
          <w:lang w:val="ro-RO"/>
        </w:rPr>
      </w:pPr>
      <w:r w:rsidRPr="00F95454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                                              </w:t>
      </w:r>
      <w:r w:rsidRPr="00966EE0">
        <w:rPr>
          <w:rFonts w:cs="Arial"/>
          <w:b/>
          <w:sz w:val="16"/>
          <w:szCs w:val="16"/>
          <w:lang w:val="ro-RO"/>
        </w:rPr>
        <w:t xml:space="preserve">CONSILIUL LOCAL  MUNICIPAL TÎRGU MUREŞ </w:t>
      </w:r>
    </w:p>
    <w:p w:rsidR="00FC03D7" w:rsidRPr="00966EE0" w:rsidRDefault="00FC03D7" w:rsidP="00FC03D7">
      <w:pPr>
        <w:spacing w:after="0" w:line="240" w:lineRule="auto"/>
        <w:jc w:val="center"/>
        <w:rPr>
          <w:rFonts w:cs="Arial"/>
          <w:b/>
          <w:sz w:val="16"/>
          <w:szCs w:val="16"/>
          <w:lang w:val="ro-RO"/>
        </w:rPr>
      </w:pPr>
      <w:r>
        <w:rPr>
          <w:rFonts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1.6pt;width:88.5pt;height:29.25pt;z-index:251658240;mso-width-relative:margin;mso-height-relative:margin">
            <v:textbox style="mso-next-textbox:#_x0000_s1026">
              <w:txbxContent>
                <w:p w:rsidR="00FC03D7" w:rsidRDefault="00FC03D7" w:rsidP="00FC03D7">
                  <w:pPr>
                    <w:keepNext/>
                  </w:pPr>
                  <w:r>
                    <w:rPr>
                      <w:rFonts w:cs="Arial"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69010" cy="293370"/>
                        <wp:effectExtent l="19050" t="0" r="2540" b="0"/>
                        <wp:docPr id="1" name="Picture 1" descr="logo_ca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01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3D7" w:rsidRDefault="00FC03D7" w:rsidP="00FC03D7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FC03D7" w:rsidRDefault="00FC03D7" w:rsidP="00FC03D7"/>
              </w:txbxContent>
            </v:textbox>
          </v:shape>
        </w:pict>
      </w:r>
      <w:r w:rsidRPr="00966EE0">
        <w:rPr>
          <w:rFonts w:cs="Arial"/>
          <w:b/>
          <w:sz w:val="16"/>
          <w:szCs w:val="16"/>
          <w:lang w:val="ro-RO"/>
        </w:rPr>
        <w:t xml:space="preserve"> CĂMIN PENTRU PERSOANE VÂRSTNICE</w:t>
      </w:r>
    </w:p>
    <w:p w:rsidR="00FC03D7" w:rsidRPr="00966EE0" w:rsidRDefault="00FC03D7" w:rsidP="00FC03D7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România, judeţul Mureş, Tg. Mureş, str. Evreilor Martiri, nr. 29-31, CUI 4322858</w:t>
      </w:r>
    </w:p>
    <w:p w:rsidR="00FC03D7" w:rsidRPr="00966EE0" w:rsidRDefault="00FC03D7" w:rsidP="00FC03D7">
      <w:pPr>
        <w:spacing w:after="0" w:line="240" w:lineRule="auto"/>
        <w:jc w:val="center"/>
        <w:rPr>
          <w:rFonts w:cs="Arial"/>
          <w:i/>
          <w:sz w:val="16"/>
          <w:szCs w:val="16"/>
          <w:lang w:val="ro-RO"/>
        </w:rPr>
      </w:pPr>
      <w:r w:rsidRPr="00966EE0">
        <w:rPr>
          <w:rFonts w:cs="Arial"/>
          <w:i/>
          <w:sz w:val="16"/>
          <w:szCs w:val="16"/>
          <w:lang w:val="ro-RO"/>
        </w:rPr>
        <w:t xml:space="preserve">                              Tel/fax 0365-404.480, 0732-018.986, e-mail:</w:t>
      </w:r>
      <w:r w:rsidRPr="00966EE0">
        <w:rPr>
          <w:rFonts w:cs="Arial"/>
          <w:i/>
          <w:sz w:val="16"/>
          <w:szCs w:val="16"/>
        </w:rPr>
        <w:t xml:space="preserve"> </w:t>
      </w:r>
      <w:hyperlink r:id="rId5" w:history="1">
        <w:r w:rsidRPr="00966EE0">
          <w:rPr>
            <w:rStyle w:val="Hyperlink"/>
            <w:rFonts w:cs="Arial"/>
            <w:i/>
            <w:sz w:val="16"/>
            <w:szCs w:val="16"/>
          </w:rPr>
          <w:t>camin@tirgumures.ro</w:t>
        </w:r>
      </w:hyperlink>
      <w:r w:rsidRPr="00966EE0">
        <w:rPr>
          <w:rFonts w:cs="Arial"/>
          <w:i/>
          <w:sz w:val="16"/>
          <w:szCs w:val="16"/>
        </w:rPr>
        <w:t xml:space="preserve"> </w:t>
      </w:r>
      <w:r w:rsidRPr="00966EE0">
        <w:rPr>
          <w:rFonts w:cs="Arial"/>
          <w:i/>
          <w:sz w:val="16"/>
          <w:szCs w:val="16"/>
          <w:lang w:val="ro-RO"/>
        </w:rPr>
        <w:t xml:space="preserve"> </w:t>
      </w:r>
      <w:hyperlink r:id="rId6" w:history="1">
        <w:r w:rsidRPr="00966EE0">
          <w:rPr>
            <w:rStyle w:val="Hyperlink"/>
            <w:rFonts w:cs="Arial"/>
            <w:i/>
            <w:sz w:val="16"/>
            <w:szCs w:val="16"/>
            <w:lang w:val="ro-RO"/>
          </w:rPr>
          <w:t>camin.mures@rdslink.ro</w:t>
        </w:r>
      </w:hyperlink>
    </w:p>
    <w:p w:rsidR="00FC03D7" w:rsidRPr="002414C7" w:rsidRDefault="00FC03D7" w:rsidP="00FC03D7">
      <w:pPr>
        <w:spacing w:after="0" w:line="240" w:lineRule="auto"/>
        <w:jc w:val="center"/>
        <w:rPr>
          <w:rFonts w:cs="Arial"/>
          <w:i/>
          <w:lang w:val="ro-RO"/>
        </w:rPr>
      </w:pPr>
    </w:p>
    <w:p w:rsidR="00FC03D7" w:rsidRP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  <w:rPr>
          <w:b/>
          <w:sz w:val="16"/>
          <w:szCs w:val="16"/>
        </w:rPr>
      </w:pPr>
      <w:r w:rsidRPr="002414C7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FC03D7">
        <w:rPr>
          <w:b/>
          <w:sz w:val="16"/>
          <w:szCs w:val="16"/>
        </w:rPr>
        <w:t>Nr.  1394 /25.08. 20</w:t>
      </w:r>
      <w:r>
        <w:rPr>
          <w:b/>
          <w:sz w:val="16"/>
          <w:szCs w:val="16"/>
        </w:rPr>
        <w:t>16</w:t>
      </w:r>
      <w:r w:rsidRPr="002414C7">
        <w:rPr>
          <w:b/>
          <w:sz w:val="28"/>
          <w:szCs w:val="28"/>
        </w:rPr>
        <w:t xml:space="preserve">                                 </w:t>
      </w:r>
    </w:p>
    <w:p w:rsid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FA5C13">
        <w:t xml:space="preserve">        </w:t>
      </w:r>
      <w:r>
        <w:t xml:space="preserve">          </w:t>
      </w:r>
      <w:r w:rsidRPr="00FA5C13">
        <w:t xml:space="preserve"> </w:t>
      </w:r>
      <w:r>
        <w:t xml:space="preserve">                                         </w:t>
      </w:r>
      <w:r w:rsidRPr="00FA5C13">
        <w:t xml:space="preserve"> </w:t>
      </w:r>
      <w:r>
        <w:rPr>
          <w:b/>
        </w:rPr>
        <w:t>REFERAT</w:t>
      </w:r>
      <w:r w:rsidRPr="002C5D03">
        <w:rPr>
          <w:b/>
        </w:rPr>
        <w:t xml:space="preserve"> </w:t>
      </w:r>
    </w:p>
    <w:p w:rsid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>
        <w:rPr>
          <w:b/>
        </w:rPr>
        <w:t xml:space="preserve">             </w:t>
      </w:r>
      <w:r w:rsidRPr="002C5D03">
        <w:rPr>
          <w:b/>
        </w:rPr>
        <w:t xml:space="preserve">privind </w:t>
      </w:r>
      <w:r w:rsidRPr="009E183C">
        <w:rPr>
          <w:b/>
        </w:rPr>
        <w:t>aprobarea compone</w:t>
      </w:r>
      <w:r>
        <w:rPr>
          <w:b/>
        </w:rPr>
        <w:t xml:space="preserve">nţei Consiliului Consultativ din cadrul </w:t>
      </w:r>
    </w:p>
    <w:p w:rsidR="00FC03D7" w:rsidRPr="009E183C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>
        <w:rPr>
          <w:b/>
        </w:rPr>
        <w:t xml:space="preserve">      Serviciului social cu cazare „Căminul</w:t>
      </w:r>
      <w:r w:rsidRPr="009E183C">
        <w:rPr>
          <w:b/>
        </w:rPr>
        <w:t xml:space="preserve"> pentru persoane vârstnice Tîrgu – Mureş”</w:t>
      </w:r>
    </w:p>
    <w:p w:rsidR="00FC03D7" w:rsidRPr="00294B1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FC03D7" w:rsidRDefault="00FC03D7" w:rsidP="00FC03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C03D7" w:rsidRPr="00D8050E" w:rsidRDefault="00FC03D7" w:rsidP="00FC0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C03D7" w:rsidRDefault="00FC03D7" w:rsidP="00FC03D7">
      <w:pPr>
        <w:pStyle w:val="Texte"/>
        <w:rPr>
          <w:szCs w:val="24"/>
        </w:rPr>
      </w:pPr>
      <w:r w:rsidRPr="008A3AD6">
        <w:rPr>
          <w:b/>
          <w:szCs w:val="24"/>
        </w:rPr>
        <w:t>Având în vedere</w:t>
      </w:r>
      <w:r>
        <w:rPr>
          <w:b/>
          <w:szCs w:val="24"/>
        </w:rPr>
        <w:t xml:space="preserve"> prevederile</w:t>
      </w:r>
      <w:r w:rsidRPr="008A3AD6">
        <w:rPr>
          <w:szCs w:val="24"/>
        </w:rPr>
        <w:t xml:space="preserve"> :</w:t>
      </w:r>
    </w:p>
    <w:p w:rsidR="00FC03D7" w:rsidRDefault="00FC03D7" w:rsidP="00FC03D7">
      <w:pPr>
        <w:pStyle w:val="Texte"/>
        <w:rPr>
          <w:szCs w:val="24"/>
        </w:rPr>
      </w:pP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  <w:lang w:val="ro-RO"/>
        </w:rPr>
        <w:t xml:space="preserve">-  Hotărârii Guvernului Nr. 867 /14 octombrie 2015 </w:t>
      </w:r>
      <w:r w:rsidRPr="00FC03D7">
        <w:rPr>
          <w:rFonts w:ascii="Times New Roman" w:hAnsi="Times New Roman"/>
          <w:i/>
          <w:sz w:val="24"/>
          <w:szCs w:val="24"/>
          <w:lang w:val="ro-RO"/>
        </w:rPr>
        <w:t xml:space="preserve">pentru aprobarea Nomenclatorului serviciilor  sociale precum  şi Regulamentelor-cadru de organizare şi funcţionare a serviciilor sociale, </w:t>
      </w:r>
      <w:r w:rsidRPr="00FC03D7">
        <w:rPr>
          <w:rFonts w:ascii="Times New Roman" w:hAnsi="Times New Roman"/>
          <w:sz w:val="24"/>
          <w:szCs w:val="24"/>
          <w:lang w:val="ro-RO"/>
        </w:rPr>
        <w:t>publicate în Monitorul Oficial nr.834/9 noiembrie 2015,</w:t>
      </w:r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Anexa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1 la </w:t>
      </w:r>
      <w:proofErr w:type="spellStart"/>
      <w:r w:rsidRPr="00FC03D7">
        <w:rPr>
          <w:rFonts w:ascii="Times New Roman" w:hAnsi="Times New Roman"/>
          <w:sz w:val="24"/>
          <w:szCs w:val="24"/>
        </w:rPr>
        <w:t>nomenclator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Art. 10: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03D7">
        <w:rPr>
          <w:rFonts w:ascii="Times New Roman" w:hAnsi="Times New Roman"/>
          <w:sz w:val="24"/>
          <w:szCs w:val="24"/>
        </w:rPr>
        <w:t>“ (</w:t>
      </w:r>
      <w:proofErr w:type="gramEnd"/>
      <w:r w:rsidRPr="00FC03D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consultativ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este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C03D7">
        <w:rPr>
          <w:rFonts w:ascii="Times New Roman" w:hAnsi="Times New Roman"/>
          <w:sz w:val="24"/>
          <w:szCs w:val="24"/>
        </w:rPr>
        <w:t>structură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C03D7">
        <w:rPr>
          <w:rFonts w:ascii="Times New Roman" w:hAnsi="Times New Roman"/>
          <w:sz w:val="24"/>
          <w:szCs w:val="24"/>
        </w:rPr>
        <w:t>asigură</w:t>
      </w:r>
      <w:proofErr w:type="spellEnd"/>
      <w:r w:rsidRPr="00FC03D7">
        <w:rPr>
          <w:rFonts w:ascii="Times New Roman" w:hAnsi="Times New Roman"/>
          <w:sz w:val="24"/>
          <w:szCs w:val="24"/>
        </w:rPr>
        <w:t>: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 a)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monitorizarea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către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furnizorul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sociale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care a </w:t>
      </w:r>
      <w:proofErr w:type="spellStart"/>
      <w:r w:rsidRPr="00FC03D7">
        <w:rPr>
          <w:rFonts w:ascii="Times New Roman" w:hAnsi="Times New Roman"/>
          <w:sz w:val="24"/>
          <w:szCs w:val="24"/>
        </w:rPr>
        <w:t>solicitat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şi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obţinut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licenţa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funcţionare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social cu </w:t>
      </w:r>
      <w:proofErr w:type="spellStart"/>
      <w:r w:rsidRPr="00FC03D7">
        <w:rPr>
          <w:rFonts w:ascii="Times New Roman" w:hAnsi="Times New Roman"/>
          <w:sz w:val="24"/>
          <w:szCs w:val="24"/>
        </w:rPr>
        <w:t>cazare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FC03D7">
        <w:rPr>
          <w:rFonts w:ascii="Times New Roman" w:hAnsi="Times New Roman"/>
          <w:sz w:val="24"/>
          <w:szCs w:val="24"/>
        </w:rPr>
        <w:t>respectării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standardelor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minime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calitate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;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respectarea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principiului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participării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beneficiarilor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03D7">
        <w:rPr>
          <w:rFonts w:ascii="Times New Roman" w:hAnsi="Times New Roman"/>
          <w:sz w:val="24"/>
          <w:szCs w:val="24"/>
        </w:rPr>
        <w:t>luarea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deciziilor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în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ceea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priveşte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funcţionarea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centrului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.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consultativ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este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compus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C03D7">
        <w:rPr>
          <w:rFonts w:ascii="Times New Roman" w:hAnsi="Times New Roman"/>
          <w:sz w:val="24"/>
          <w:szCs w:val="24"/>
        </w:rPr>
        <w:t>reprezentanţi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furnizorului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sociale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03D7">
        <w:rPr>
          <w:rFonts w:ascii="Times New Roman" w:hAnsi="Times New Roman"/>
          <w:sz w:val="24"/>
          <w:szCs w:val="24"/>
        </w:rPr>
        <w:t>care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C03D7">
        <w:rPr>
          <w:rFonts w:ascii="Times New Roman" w:hAnsi="Times New Roman"/>
          <w:sz w:val="24"/>
          <w:szCs w:val="24"/>
        </w:rPr>
        <w:t>înfiinţat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ori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D7">
        <w:rPr>
          <w:rFonts w:ascii="Times New Roman" w:hAnsi="Times New Roman"/>
          <w:sz w:val="24"/>
          <w:szCs w:val="24"/>
        </w:rPr>
        <w:t>după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caz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FC03D7">
        <w:rPr>
          <w:rFonts w:ascii="Times New Roman" w:hAnsi="Times New Roman"/>
          <w:sz w:val="24"/>
          <w:szCs w:val="24"/>
        </w:rPr>
        <w:t>finanţează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instituţia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)</w:t>
      </w:r>
      <w:proofErr w:type="spellStart"/>
      <w:r w:rsidRPr="00FC03D7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reprezentanţi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beneficiarilor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acordate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în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cadrul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centrului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D7">
        <w:rPr>
          <w:rFonts w:ascii="Times New Roman" w:hAnsi="Times New Roman"/>
          <w:sz w:val="24"/>
          <w:szCs w:val="24"/>
        </w:rPr>
        <w:t>aleşi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în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mod democratic.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 (3)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consultativ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îndeplineşte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următoarele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atribuţii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principale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: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participă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03D7">
        <w:rPr>
          <w:rFonts w:ascii="Times New Roman" w:hAnsi="Times New Roman"/>
          <w:sz w:val="24"/>
          <w:szCs w:val="24"/>
        </w:rPr>
        <w:t>deciziile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privind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planificarea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bugetului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centrului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D7">
        <w:rPr>
          <w:rFonts w:ascii="Times New Roman" w:hAnsi="Times New Roman"/>
          <w:sz w:val="24"/>
          <w:szCs w:val="24"/>
        </w:rPr>
        <w:t>în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special a </w:t>
      </w:r>
      <w:proofErr w:type="spellStart"/>
      <w:r w:rsidRPr="00FC03D7">
        <w:rPr>
          <w:rFonts w:ascii="Times New Roman" w:hAnsi="Times New Roman"/>
          <w:sz w:val="24"/>
          <w:szCs w:val="24"/>
        </w:rPr>
        <w:t>aspectelor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care au impact direct </w:t>
      </w:r>
      <w:proofErr w:type="spellStart"/>
      <w:r w:rsidRPr="00FC03D7">
        <w:rPr>
          <w:rFonts w:ascii="Times New Roman" w:hAnsi="Times New Roman"/>
          <w:sz w:val="24"/>
          <w:szCs w:val="24"/>
        </w:rPr>
        <w:t>asupra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sociale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 b)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analizează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activităţile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derulate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în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centru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şi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propune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măsuri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şi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programe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îmbunătăţire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03D7">
        <w:rPr>
          <w:rFonts w:ascii="Times New Roman" w:hAnsi="Times New Roman"/>
          <w:sz w:val="24"/>
          <w:szCs w:val="24"/>
        </w:rPr>
        <w:t>acestora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; </w:t>
      </w:r>
    </w:p>
    <w:p w:rsidR="00FC03D7" w:rsidRPr="00FC03D7" w:rsidRDefault="00FC03D7" w:rsidP="00FC0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3D7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FC03D7">
        <w:rPr>
          <w:rFonts w:ascii="Times New Roman" w:hAnsi="Times New Roman"/>
          <w:sz w:val="24"/>
          <w:szCs w:val="24"/>
        </w:rPr>
        <w:t>după</w:t>
      </w:r>
      <w:proofErr w:type="spellEnd"/>
      <w:proofErr w:type="gram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caz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D7">
        <w:rPr>
          <w:rFonts w:ascii="Times New Roman" w:hAnsi="Times New Roman"/>
          <w:sz w:val="24"/>
          <w:szCs w:val="24"/>
        </w:rPr>
        <w:t>îşi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exprimă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acordul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prealabil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C03D7">
        <w:rPr>
          <w:rFonts w:ascii="Times New Roman" w:hAnsi="Times New Roman"/>
          <w:sz w:val="24"/>
          <w:szCs w:val="24"/>
        </w:rPr>
        <w:t>privire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03D7">
        <w:rPr>
          <w:rFonts w:ascii="Times New Roman" w:hAnsi="Times New Roman"/>
          <w:sz w:val="24"/>
          <w:szCs w:val="24"/>
        </w:rPr>
        <w:t>încetarea</w:t>
      </w:r>
      <w:proofErr w:type="spellEnd"/>
      <w:r w:rsidRPr="00FC03D7">
        <w:rPr>
          <w:rFonts w:ascii="Times New Roman" w:hAnsi="Times New Roman"/>
          <w:sz w:val="24"/>
          <w:szCs w:val="24"/>
        </w:rPr>
        <w:t>/</w:t>
      </w:r>
      <w:proofErr w:type="spellStart"/>
      <w:r w:rsidRPr="00FC03D7">
        <w:rPr>
          <w:rFonts w:ascii="Times New Roman" w:hAnsi="Times New Roman"/>
          <w:sz w:val="24"/>
          <w:szCs w:val="24"/>
        </w:rPr>
        <w:t>sistarea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serviciilor</w:t>
      </w:r>
      <w:proofErr w:type="spellEnd"/>
      <w:r w:rsidRPr="00FC03D7">
        <w:rPr>
          <w:rFonts w:ascii="Times New Roman" w:hAnsi="Times New Roman"/>
          <w:sz w:val="24"/>
          <w:szCs w:val="24"/>
        </w:rPr>
        <w:t>.”</w:t>
      </w:r>
    </w:p>
    <w:p w:rsidR="00FC03D7" w:rsidRPr="00FC03D7" w:rsidRDefault="00FC03D7" w:rsidP="00FC03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C03D7">
        <w:rPr>
          <w:rFonts w:ascii="Times New Roman" w:hAnsi="Times New Roman"/>
          <w:sz w:val="24"/>
          <w:szCs w:val="24"/>
          <w:lang w:val="ro-RO"/>
        </w:rPr>
        <w:t xml:space="preserve">Ca urmare a modificărilor survenite în componenţa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FC03D7">
        <w:rPr>
          <w:rFonts w:ascii="Times New Roman" w:hAnsi="Times New Roman"/>
          <w:sz w:val="24"/>
          <w:szCs w:val="24"/>
        </w:rPr>
        <w:t>Tîrgu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Mureş</w:t>
      </w:r>
      <w:proofErr w:type="spellEnd"/>
      <w:r w:rsidRPr="00FC03D7">
        <w:rPr>
          <w:rFonts w:ascii="Times New Roman" w:hAnsi="Times New Roman"/>
          <w:sz w:val="24"/>
          <w:szCs w:val="24"/>
          <w:lang w:val="ro-RO"/>
        </w:rPr>
        <w:t xml:space="preserve"> ca urmare a alegerilor locale din anul 2016, in conformitate cu art. 36 alin.(2) lit. a) si  alin.(6) lit. a) pct.2 din Legea nr. 215/2001, </w:t>
      </w:r>
      <w:r w:rsidRPr="00FC03D7">
        <w:rPr>
          <w:rFonts w:ascii="Times New Roman" w:hAnsi="Times New Roman"/>
          <w:i/>
          <w:sz w:val="24"/>
          <w:szCs w:val="24"/>
          <w:lang w:val="ro-RO"/>
        </w:rPr>
        <w:t>privind administraţia publică locală, republicată, cu modificările şi completările ulterioare,</w:t>
      </w:r>
      <w:r w:rsidRPr="00FC03D7">
        <w:rPr>
          <w:rFonts w:ascii="Times New Roman" w:hAnsi="Times New Roman"/>
          <w:sz w:val="24"/>
          <w:szCs w:val="24"/>
          <w:lang w:val="ro-RO"/>
        </w:rPr>
        <w:t xml:space="preserve"> se impune desemnarea </w:t>
      </w:r>
      <w:proofErr w:type="spellStart"/>
      <w:r w:rsidRPr="00FC03D7">
        <w:rPr>
          <w:rFonts w:ascii="Times New Roman" w:hAnsi="Times New Roman"/>
          <w:sz w:val="24"/>
          <w:szCs w:val="24"/>
        </w:rPr>
        <w:t>reprezentanţilor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03D7">
        <w:rPr>
          <w:rFonts w:ascii="Times New Roman" w:hAnsi="Times New Roman"/>
          <w:sz w:val="24"/>
          <w:szCs w:val="24"/>
        </w:rPr>
        <w:t>furnizorului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03D7">
        <w:rPr>
          <w:rFonts w:ascii="Times New Roman" w:hAnsi="Times New Roman"/>
          <w:sz w:val="24"/>
          <w:szCs w:val="24"/>
        </w:rPr>
        <w:t>servicii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sociale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C03D7">
        <w:rPr>
          <w:rFonts w:ascii="Times New Roman" w:hAnsi="Times New Roman"/>
          <w:sz w:val="24"/>
          <w:szCs w:val="24"/>
        </w:rPr>
        <w:t>care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C03D7">
        <w:rPr>
          <w:rFonts w:ascii="Times New Roman" w:hAnsi="Times New Roman"/>
          <w:sz w:val="24"/>
          <w:szCs w:val="24"/>
        </w:rPr>
        <w:t>înfiinţat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ori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D7">
        <w:rPr>
          <w:rFonts w:ascii="Times New Roman" w:hAnsi="Times New Roman"/>
          <w:sz w:val="24"/>
          <w:szCs w:val="24"/>
        </w:rPr>
        <w:t>după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caz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FC03D7">
        <w:rPr>
          <w:rFonts w:ascii="Times New Roman" w:hAnsi="Times New Roman"/>
          <w:sz w:val="24"/>
          <w:szCs w:val="24"/>
        </w:rPr>
        <w:t>finanţează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instituţia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), </w:t>
      </w:r>
      <w:proofErr w:type="spellStart"/>
      <w:r w:rsidRPr="00FC03D7">
        <w:rPr>
          <w:rFonts w:ascii="Times New Roman" w:hAnsi="Times New Roman"/>
          <w:sz w:val="24"/>
          <w:szCs w:val="24"/>
        </w:rPr>
        <w:t>respectiv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Municipiul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r w:rsidRPr="00FC03D7">
        <w:rPr>
          <w:rFonts w:ascii="Times New Roman" w:hAnsi="Times New Roman"/>
          <w:sz w:val="24"/>
          <w:szCs w:val="24"/>
          <w:lang w:val="ro-RO"/>
        </w:rPr>
        <w:t xml:space="preserve">Tîrgu – Mureş  şi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Local </w:t>
      </w:r>
      <w:r w:rsidRPr="00FC03D7">
        <w:rPr>
          <w:rFonts w:ascii="Times New Roman" w:hAnsi="Times New Roman"/>
          <w:sz w:val="24"/>
          <w:szCs w:val="24"/>
          <w:lang w:val="ro-RO"/>
        </w:rPr>
        <w:t xml:space="preserve">al Municipiului Tîrgu – Mureş, prin modificarea art.4,anexa nr.4 din HCL municipal Tî-rgu-Mureş, nr.38/25.02.2016 ( anexată în copie).     </w:t>
      </w:r>
    </w:p>
    <w:p w:rsidR="00FC03D7" w:rsidRPr="00FC03D7" w:rsidRDefault="00FC03D7" w:rsidP="00FC03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C03D7">
        <w:rPr>
          <w:rFonts w:ascii="Times New Roman" w:hAnsi="Times New Roman"/>
          <w:b/>
          <w:sz w:val="24"/>
          <w:szCs w:val="24"/>
          <w:lang w:val="ro-RO"/>
        </w:rPr>
        <w:t>Propunem</w:t>
      </w:r>
    </w:p>
    <w:p w:rsidR="00FC03D7" w:rsidRPr="00FC03D7" w:rsidRDefault="00FC03D7" w:rsidP="00FC03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03D7">
        <w:rPr>
          <w:rFonts w:ascii="Times New Roman" w:hAnsi="Times New Roman"/>
          <w:b/>
          <w:sz w:val="24"/>
          <w:szCs w:val="24"/>
          <w:lang w:val="ro-RO"/>
        </w:rPr>
        <w:t>-</w:t>
      </w:r>
      <w:r w:rsidRPr="00FC03D7">
        <w:rPr>
          <w:rFonts w:ascii="Times New Roman" w:hAnsi="Times New Roman"/>
          <w:sz w:val="24"/>
          <w:szCs w:val="24"/>
          <w:lang w:val="ro-RO"/>
        </w:rPr>
        <w:t xml:space="preserve">aprobarea </w:t>
      </w:r>
      <w:r w:rsidRPr="00FC03D7">
        <w:rPr>
          <w:rFonts w:ascii="Times New Roman" w:hAnsi="Times New Roman"/>
          <w:b/>
          <w:sz w:val="24"/>
          <w:szCs w:val="24"/>
          <w:lang w:val="ro-RO"/>
        </w:rPr>
        <w:t>componenţei Consiliului Consultativ</w:t>
      </w:r>
      <w:r w:rsidRPr="00FC03D7"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FC03D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C03D7">
        <w:rPr>
          <w:rFonts w:ascii="Times New Roman" w:hAnsi="Times New Roman"/>
          <w:b/>
          <w:sz w:val="24"/>
          <w:szCs w:val="24"/>
        </w:rPr>
        <w:t>Serviciului</w:t>
      </w:r>
      <w:proofErr w:type="spellEnd"/>
      <w:r w:rsidRPr="00FC03D7">
        <w:rPr>
          <w:rFonts w:ascii="Times New Roman" w:hAnsi="Times New Roman"/>
          <w:b/>
          <w:sz w:val="24"/>
          <w:szCs w:val="24"/>
        </w:rPr>
        <w:t xml:space="preserve"> social cu </w:t>
      </w:r>
      <w:proofErr w:type="spellStart"/>
      <w:r w:rsidRPr="00FC03D7">
        <w:rPr>
          <w:rFonts w:ascii="Times New Roman" w:hAnsi="Times New Roman"/>
          <w:b/>
          <w:sz w:val="24"/>
          <w:szCs w:val="24"/>
        </w:rPr>
        <w:t>cazare</w:t>
      </w:r>
      <w:proofErr w:type="spellEnd"/>
      <w:r w:rsidRPr="00FC03D7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FC03D7">
        <w:rPr>
          <w:rFonts w:ascii="Times New Roman" w:hAnsi="Times New Roman"/>
          <w:sz w:val="24"/>
          <w:szCs w:val="24"/>
        </w:rPr>
        <w:t>„</w:t>
      </w:r>
      <w:proofErr w:type="spellStart"/>
      <w:r w:rsidRPr="00FC03D7">
        <w:rPr>
          <w:rFonts w:ascii="Times New Roman" w:hAnsi="Times New Roman"/>
          <w:sz w:val="24"/>
          <w:szCs w:val="24"/>
        </w:rPr>
        <w:t>Căminul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pentru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persoane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vârstnice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Tîrgu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C03D7">
        <w:rPr>
          <w:rFonts w:ascii="Times New Roman" w:hAnsi="Times New Roman"/>
          <w:sz w:val="24"/>
          <w:szCs w:val="24"/>
        </w:rPr>
        <w:t>Mureş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Pr="00FC03D7">
        <w:rPr>
          <w:rFonts w:ascii="Times New Roman" w:hAnsi="Times New Roman"/>
          <w:sz w:val="24"/>
          <w:szCs w:val="24"/>
        </w:rPr>
        <w:t>anexei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  care face parte </w:t>
      </w:r>
      <w:proofErr w:type="spellStart"/>
      <w:r w:rsidRPr="00FC03D7">
        <w:rPr>
          <w:rFonts w:ascii="Times New Roman" w:hAnsi="Times New Roman"/>
          <w:sz w:val="24"/>
          <w:szCs w:val="24"/>
        </w:rPr>
        <w:t>integrantă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C03D7">
        <w:rPr>
          <w:rFonts w:ascii="Times New Roman" w:hAnsi="Times New Roman"/>
          <w:sz w:val="24"/>
          <w:szCs w:val="24"/>
        </w:rPr>
        <w:t>prezenta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expunere</w:t>
      </w:r>
      <w:proofErr w:type="spellEnd"/>
      <w:r w:rsidRPr="00FC03D7">
        <w:rPr>
          <w:rFonts w:ascii="Times New Roman" w:hAnsi="Times New Roman"/>
          <w:sz w:val="24"/>
          <w:szCs w:val="24"/>
        </w:rPr>
        <w:t>.</w:t>
      </w:r>
    </w:p>
    <w:p w:rsidR="00FC03D7" w:rsidRP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360"/>
        <w:jc w:val="center"/>
        <w:rPr>
          <w:sz w:val="22"/>
          <w:szCs w:val="22"/>
        </w:rPr>
      </w:pPr>
      <w:r w:rsidRPr="00FC03D7">
        <w:rPr>
          <w:sz w:val="22"/>
          <w:szCs w:val="22"/>
        </w:rPr>
        <w:t>DIRECTOR</w:t>
      </w:r>
    </w:p>
    <w:p w:rsidR="00FC03D7" w:rsidRP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ind w:left="720"/>
        <w:jc w:val="center"/>
        <w:rPr>
          <w:b/>
          <w:i/>
          <w:sz w:val="22"/>
          <w:szCs w:val="22"/>
        </w:rPr>
      </w:pPr>
      <w:r w:rsidRPr="00FC03D7">
        <w:rPr>
          <w:b/>
          <w:i/>
          <w:sz w:val="22"/>
          <w:szCs w:val="22"/>
        </w:rPr>
        <w:t>Dr.Anca Mariela FLOREA</w:t>
      </w:r>
    </w:p>
    <w:p w:rsidR="00FC03D7" w:rsidRPr="00FC03D7" w:rsidRDefault="00FC03D7" w:rsidP="00FC03D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rPr>
          <w:b/>
          <w:i/>
        </w:rPr>
      </w:pPr>
    </w:p>
    <w:p w:rsidR="00FC03D7" w:rsidRPr="00FC03D7" w:rsidRDefault="00FC03D7" w:rsidP="00FC03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FC03D7">
        <w:rPr>
          <w:rFonts w:ascii="Times New Roman" w:hAnsi="Times New Roman"/>
          <w:sz w:val="16"/>
          <w:szCs w:val="16"/>
        </w:rPr>
        <w:t>Întocmit</w:t>
      </w:r>
      <w:proofErr w:type="spellEnd"/>
      <w:r w:rsidRPr="00FC03D7">
        <w:rPr>
          <w:rFonts w:ascii="Times New Roman" w:hAnsi="Times New Roman"/>
          <w:sz w:val="16"/>
          <w:szCs w:val="16"/>
        </w:rPr>
        <w:t>/</w:t>
      </w:r>
      <w:proofErr w:type="spellStart"/>
      <w:r w:rsidRPr="00FC03D7">
        <w:rPr>
          <w:rFonts w:ascii="Times New Roman" w:hAnsi="Times New Roman"/>
          <w:sz w:val="16"/>
          <w:szCs w:val="16"/>
        </w:rPr>
        <w:t>Redactat</w:t>
      </w:r>
      <w:proofErr w:type="spellEnd"/>
      <w:r w:rsidRPr="00FC03D7">
        <w:rPr>
          <w:rFonts w:ascii="Times New Roman" w:hAnsi="Times New Roman"/>
          <w:sz w:val="16"/>
          <w:szCs w:val="16"/>
        </w:rPr>
        <w:t xml:space="preserve"> 2 ex.</w:t>
      </w:r>
      <w:proofErr w:type="gramEnd"/>
    </w:p>
    <w:p w:rsidR="00FC03D7" w:rsidRPr="00FC03D7" w:rsidRDefault="00FC03D7" w:rsidP="00FC03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3D7">
        <w:rPr>
          <w:rFonts w:ascii="Times New Roman" w:hAnsi="Times New Roman"/>
          <w:sz w:val="16"/>
          <w:szCs w:val="16"/>
        </w:rPr>
        <w:t>Dr.AMF</w:t>
      </w:r>
    </w:p>
    <w:p w:rsidR="00AF53D2" w:rsidRPr="00FC03D7" w:rsidRDefault="0084353C">
      <w:pPr>
        <w:rPr>
          <w:rFonts w:ascii="Times New Roman" w:hAnsi="Times New Roman"/>
          <w:sz w:val="24"/>
          <w:szCs w:val="24"/>
        </w:rPr>
      </w:pPr>
    </w:p>
    <w:sectPr w:rsidR="00AF53D2" w:rsidRPr="00FC03D7" w:rsidSect="0095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03D7"/>
    <w:rsid w:val="00215B15"/>
    <w:rsid w:val="003E3287"/>
    <w:rsid w:val="0084353C"/>
    <w:rsid w:val="00953F03"/>
    <w:rsid w:val="00A12AF7"/>
    <w:rsid w:val="00A820E4"/>
    <w:rsid w:val="00C63632"/>
    <w:rsid w:val="00C90C88"/>
    <w:rsid w:val="00D234F7"/>
    <w:rsid w:val="00FC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3D7"/>
    <w:rPr>
      <w:color w:val="0000FF"/>
      <w:u w:val="single"/>
    </w:rPr>
  </w:style>
  <w:style w:type="paragraph" w:styleId="Header">
    <w:name w:val="header"/>
    <w:basedOn w:val="Normal"/>
    <w:link w:val="HeaderChar"/>
    <w:rsid w:val="00FC0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FC03D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FC03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03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n.mures@rdslink.ro" TargetMode="External"/><Relationship Id="rId5" Type="http://schemas.openxmlformats.org/officeDocument/2006/relationships/hyperlink" Target="mailto:camin@tirgumure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2016-08-26T07:37:00Z</cp:lastPrinted>
  <dcterms:created xsi:type="dcterms:W3CDTF">2016-08-26T07:27:00Z</dcterms:created>
  <dcterms:modified xsi:type="dcterms:W3CDTF">2016-08-26T07:39:00Z</dcterms:modified>
</cp:coreProperties>
</file>