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DE3F8D" w14:textId="77777777" w:rsidR="00FA7281" w:rsidRPr="00A821E7" w:rsidRDefault="00556C22" w:rsidP="00FA7281">
      <w:pPr>
        <w:ind w:left="1440"/>
        <w:jc w:val="center"/>
        <w:rPr>
          <w:rFonts w:eastAsia="Umbra BT"/>
          <w:b/>
          <w:color w:val="0D0D0D" w:themeColor="text1" w:themeTint="F2"/>
          <w:w w:val="90"/>
          <w:sz w:val="22"/>
          <w:szCs w:val="22"/>
          <w:lang w:val="ro-RO" w:eastAsia="ro-RO"/>
        </w:rPr>
      </w:pPr>
      <w:r>
        <w:rPr>
          <w:b/>
          <w:color w:val="0D0D0D" w:themeColor="text1" w:themeTint="F2"/>
          <w:w w:val="90"/>
          <w:sz w:val="22"/>
          <w:szCs w:val="22"/>
          <w:lang w:val="ro-RO" w:eastAsia="ro-RO"/>
        </w:rPr>
        <w:pict w14:anchorId="604876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left:0;text-align:left;margin-left:1pt;margin-top:4pt;width:38.4pt;height:57.6pt;z-index:-251658752" wrapcoords="-174 0 -174 21481 21600 21481 21600 0 -174 0">
            <v:imagedata r:id="rId5" o:title=""/>
            <w10:wrap type="tight"/>
          </v:shape>
          <o:OLEObject Type="Embed" ProgID="Word.Picture.8" ShapeID="Picture 5" DrawAspect="Content" ObjectID="_1634977437" r:id="rId6">
            <o:FieldCodes>\* MERGEFORMAT</o:FieldCodes>
          </o:OLEObject>
        </w:pict>
      </w:r>
      <w:r w:rsidR="00FA7281" w:rsidRPr="00A821E7">
        <w:rPr>
          <w:rFonts w:eastAsia="Umbra BT"/>
          <w:b/>
          <w:color w:val="0D0D0D" w:themeColor="text1" w:themeTint="F2"/>
          <w:w w:val="90"/>
          <w:sz w:val="22"/>
          <w:szCs w:val="22"/>
          <w:lang w:val="ro-RO" w:eastAsia="ro-RO"/>
        </w:rPr>
        <w:tab/>
      </w:r>
    </w:p>
    <w:p w14:paraId="5D38B885" w14:textId="18A33124" w:rsidR="00FA7281" w:rsidRPr="0085682D" w:rsidRDefault="00FA7281" w:rsidP="00FA7281">
      <w:pPr>
        <w:rPr>
          <w:b/>
          <w:color w:val="0D0D0D" w:themeColor="text1" w:themeTint="F2"/>
          <w:w w:val="90"/>
          <w:sz w:val="24"/>
          <w:szCs w:val="24"/>
          <w:lang w:val="ro-RO" w:eastAsia="ro-RO"/>
        </w:rPr>
      </w:pPr>
      <w:r w:rsidRPr="0085682D">
        <w:rPr>
          <w:b/>
          <w:color w:val="0D0D0D" w:themeColor="text1" w:themeTint="F2"/>
          <w:w w:val="90"/>
          <w:sz w:val="24"/>
          <w:szCs w:val="24"/>
          <w:lang w:val="ro-RO" w:eastAsia="ro-RO"/>
        </w:rPr>
        <w:t xml:space="preserve">R O M Â N I A </w:t>
      </w:r>
      <w:r w:rsidRPr="0085682D">
        <w:rPr>
          <w:b/>
          <w:color w:val="0D0D0D" w:themeColor="text1" w:themeTint="F2"/>
          <w:w w:val="90"/>
          <w:sz w:val="24"/>
          <w:szCs w:val="24"/>
          <w:lang w:val="ro-RO" w:eastAsia="ro-RO"/>
        </w:rPr>
        <w:tab/>
      </w:r>
      <w:r w:rsidRPr="0085682D">
        <w:rPr>
          <w:b/>
          <w:color w:val="0D0D0D" w:themeColor="text1" w:themeTint="F2"/>
          <w:w w:val="90"/>
          <w:sz w:val="24"/>
          <w:szCs w:val="24"/>
          <w:lang w:val="ro-RO" w:eastAsia="ro-RO"/>
        </w:rPr>
        <w:tab/>
      </w:r>
      <w:r w:rsidRPr="0085682D">
        <w:rPr>
          <w:b/>
          <w:color w:val="0D0D0D" w:themeColor="text1" w:themeTint="F2"/>
          <w:w w:val="90"/>
          <w:sz w:val="24"/>
          <w:szCs w:val="24"/>
          <w:lang w:val="ro-RO" w:eastAsia="ro-RO"/>
        </w:rPr>
        <w:tab/>
      </w:r>
      <w:r w:rsidRPr="0085682D">
        <w:rPr>
          <w:b/>
          <w:color w:val="0D0D0D" w:themeColor="text1" w:themeTint="F2"/>
          <w:w w:val="90"/>
          <w:sz w:val="24"/>
          <w:szCs w:val="24"/>
          <w:lang w:val="ro-RO" w:eastAsia="ro-RO"/>
        </w:rPr>
        <w:tab/>
        <w:t xml:space="preserve">                                         </w:t>
      </w:r>
      <w:r w:rsidR="003C22BE">
        <w:rPr>
          <w:b/>
          <w:color w:val="0D0D0D" w:themeColor="text1" w:themeTint="F2"/>
          <w:w w:val="90"/>
          <w:sz w:val="24"/>
          <w:szCs w:val="24"/>
          <w:lang w:val="ro-RO" w:eastAsia="ro-RO"/>
        </w:rPr>
        <w:t xml:space="preserve">           </w:t>
      </w:r>
      <w:r w:rsidR="003C22BE" w:rsidRPr="00A821E7">
        <w:rPr>
          <w:rFonts w:eastAsia="Umbra BT"/>
          <w:color w:val="0D0D0D" w:themeColor="text1" w:themeTint="F2"/>
          <w:sz w:val="24"/>
          <w:szCs w:val="24"/>
          <w:lang w:val="ro-RO" w:eastAsia="ro-RO"/>
        </w:rPr>
        <w:t>Proiect</w:t>
      </w:r>
      <w:r w:rsidRPr="0085682D">
        <w:rPr>
          <w:b/>
          <w:color w:val="0D0D0D" w:themeColor="text1" w:themeTint="F2"/>
          <w:w w:val="90"/>
          <w:sz w:val="24"/>
          <w:szCs w:val="24"/>
          <w:lang w:val="ro-RO" w:eastAsia="ro-RO"/>
        </w:rPr>
        <w:t xml:space="preserve">              </w:t>
      </w:r>
      <w:r w:rsidRPr="0085682D">
        <w:rPr>
          <w:b/>
          <w:color w:val="0D0D0D" w:themeColor="text1" w:themeTint="F2"/>
          <w:w w:val="90"/>
          <w:sz w:val="24"/>
          <w:szCs w:val="24"/>
          <w:lang w:val="ro-RO" w:eastAsia="ro-RO"/>
        </w:rPr>
        <w:tab/>
      </w:r>
    </w:p>
    <w:p w14:paraId="640BBE46" w14:textId="1703DAAB" w:rsidR="00FA7281" w:rsidRPr="0085682D" w:rsidRDefault="00FA7281" w:rsidP="00FA7281">
      <w:pPr>
        <w:jc w:val="both"/>
        <w:rPr>
          <w:b/>
          <w:color w:val="0D0D0D" w:themeColor="text1" w:themeTint="F2"/>
          <w:w w:val="90"/>
          <w:sz w:val="24"/>
          <w:szCs w:val="24"/>
          <w:lang w:val="ro-RO" w:eastAsia="ro-RO"/>
        </w:rPr>
      </w:pPr>
      <w:r w:rsidRPr="0085682D">
        <w:rPr>
          <w:b/>
          <w:color w:val="0D0D0D" w:themeColor="text1" w:themeTint="F2"/>
          <w:w w:val="90"/>
          <w:sz w:val="24"/>
          <w:szCs w:val="24"/>
          <w:lang w:val="ro-RO" w:eastAsia="ro-RO"/>
        </w:rPr>
        <w:t>JUDEŢUL MUREŞ</w:t>
      </w:r>
      <w:r w:rsidRPr="0085682D">
        <w:rPr>
          <w:b/>
          <w:color w:val="0D0D0D" w:themeColor="text1" w:themeTint="F2"/>
          <w:w w:val="90"/>
          <w:sz w:val="24"/>
          <w:szCs w:val="24"/>
          <w:lang w:val="ro-RO" w:eastAsia="ro-RO"/>
        </w:rPr>
        <w:tab/>
      </w:r>
      <w:r w:rsidRPr="0085682D">
        <w:rPr>
          <w:b/>
          <w:color w:val="0D0D0D" w:themeColor="text1" w:themeTint="F2"/>
          <w:w w:val="90"/>
          <w:sz w:val="24"/>
          <w:szCs w:val="24"/>
          <w:lang w:val="ro-RO" w:eastAsia="ro-RO"/>
        </w:rPr>
        <w:tab/>
      </w:r>
      <w:r w:rsidRPr="0085682D">
        <w:rPr>
          <w:b/>
          <w:color w:val="0D0D0D" w:themeColor="text1" w:themeTint="F2"/>
          <w:w w:val="90"/>
          <w:sz w:val="24"/>
          <w:szCs w:val="24"/>
          <w:lang w:val="ro-RO" w:eastAsia="ro-RO"/>
        </w:rPr>
        <w:tab/>
      </w:r>
      <w:r w:rsidR="003C22BE">
        <w:rPr>
          <w:b/>
          <w:color w:val="0D0D0D" w:themeColor="text1" w:themeTint="F2"/>
          <w:w w:val="90"/>
          <w:sz w:val="24"/>
          <w:szCs w:val="24"/>
          <w:lang w:val="ro-RO" w:eastAsia="ro-RO"/>
        </w:rPr>
        <w:t xml:space="preserve">                                                   </w:t>
      </w:r>
      <w:r w:rsidR="003C22BE" w:rsidRPr="00A821E7">
        <w:rPr>
          <w:b/>
          <w:color w:val="0D0D0D" w:themeColor="text1" w:themeTint="F2"/>
          <w:lang w:val="ro-RO"/>
        </w:rPr>
        <w:t xml:space="preserve">(nu produce efecte juridice) * </w:t>
      </w:r>
      <w:r w:rsidRPr="0085682D">
        <w:rPr>
          <w:b/>
          <w:color w:val="0D0D0D" w:themeColor="text1" w:themeTint="F2"/>
          <w:w w:val="90"/>
          <w:sz w:val="24"/>
          <w:szCs w:val="24"/>
          <w:lang w:val="ro-RO" w:eastAsia="ro-RO"/>
        </w:rPr>
        <w:t xml:space="preserve">                       </w:t>
      </w:r>
    </w:p>
    <w:p w14:paraId="318F7C37" w14:textId="77777777" w:rsidR="00FA7281" w:rsidRPr="0085682D" w:rsidRDefault="00FA7281" w:rsidP="00FA7281">
      <w:pPr>
        <w:jc w:val="both"/>
        <w:rPr>
          <w:b/>
          <w:color w:val="0D0D0D" w:themeColor="text1" w:themeTint="F2"/>
          <w:w w:val="90"/>
          <w:sz w:val="24"/>
          <w:szCs w:val="24"/>
          <w:lang w:val="ro-RO" w:eastAsia="ro-RO"/>
        </w:rPr>
      </w:pPr>
      <w:r w:rsidRPr="0085682D">
        <w:rPr>
          <w:b/>
          <w:color w:val="0D0D0D" w:themeColor="text1" w:themeTint="F2"/>
          <w:w w:val="90"/>
          <w:sz w:val="24"/>
          <w:szCs w:val="24"/>
          <w:lang w:val="ro-RO" w:eastAsia="ro-RO"/>
        </w:rPr>
        <w:t>CONSILIUL LOCAL MUNICIPAL TÂRGU MUREŞ</w:t>
      </w:r>
    </w:p>
    <w:p w14:paraId="3981AA80" w14:textId="0CF5C8ED" w:rsidR="00FA7281" w:rsidRPr="00A821E7" w:rsidRDefault="003C22BE" w:rsidP="00FA7281">
      <w:pPr>
        <w:ind w:left="4956" w:firstLine="708"/>
        <w:jc w:val="center"/>
        <w:rPr>
          <w:b/>
          <w:color w:val="0D0D0D" w:themeColor="text1" w:themeTint="F2"/>
          <w:sz w:val="24"/>
          <w:szCs w:val="24"/>
          <w:lang w:val="ro-RO"/>
        </w:rPr>
      </w:pPr>
      <w:r>
        <w:rPr>
          <w:b/>
          <w:color w:val="0D0D0D" w:themeColor="text1" w:themeTint="F2"/>
          <w:sz w:val="24"/>
          <w:szCs w:val="24"/>
          <w:lang w:val="ro-RO"/>
        </w:rPr>
        <w:t xml:space="preserve">                         </w:t>
      </w:r>
      <w:r w:rsidR="00FA7281" w:rsidRPr="00A821E7">
        <w:rPr>
          <w:b/>
          <w:color w:val="0D0D0D" w:themeColor="text1" w:themeTint="F2"/>
          <w:sz w:val="24"/>
          <w:szCs w:val="24"/>
          <w:lang w:val="ro-RO"/>
        </w:rPr>
        <w:t>VICEPRIMAR,</w:t>
      </w:r>
    </w:p>
    <w:p w14:paraId="3E76CA1D" w14:textId="77777777" w:rsidR="00FA7281" w:rsidRPr="00A821E7" w:rsidRDefault="00FA7281" w:rsidP="00FA7281">
      <w:pPr>
        <w:ind w:left="4248" w:firstLine="708"/>
        <w:jc w:val="center"/>
        <w:rPr>
          <w:b/>
          <w:color w:val="0D0D0D" w:themeColor="text1" w:themeTint="F2"/>
          <w:sz w:val="24"/>
          <w:szCs w:val="24"/>
          <w:lang w:val="ro-RO"/>
        </w:rPr>
      </w:pPr>
      <w:r w:rsidRPr="00A821E7">
        <w:rPr>
          <w:b/>
          <w:color w:val="0D0D0D" w:themeColor="text1" w:themeTint="F2"/>
          <w:sz w:val="24"/>
          <w:szCs w:val="24"/>
          <w:lang w:val="ro-RO"/>
        </w:rPr>
        <w:t xml:space="preserve">                                      Dr. </w:t>
      </w:r>
      <w:proofErr w:type="spellStart"/>
      <w:r w:rsidRPr="00A821E7">
        <w:rPr>
          <w:b/>
          <w:color w:val="0D0D0D" w:themeColor="text1" w:themeTint="F2"/>
          <w:sz w:val="24"/>
          <w:szCs w:val="24"/>
          <w:lang w:val="ro-RO"/>
        </w:rPr>
        <w:t>Makkai</w:t>
      </w:r>
      <w:proofErr w:type="spellEnd"/>
      <w:r w:rsidRPr="00A821E7">
        <w:rPr>
          <w:b/>
          <w:color w:val="0D0D0D" w:themeColor="text1" w:themeTint="F2"/>
          <w:sz w:val="24"/>
          <w:szCs w:val="24"/>
          <w:lang w:val="ro-RO"/>
        </w:rPr>
        <w:t xml:space="preserve"> Grigore</w:t>
      </w:r>
    </w:p>
    <w:p w14:paraId="6E349DAA" w14:textId="77777777" w:rsidR="00FA7281" w:rsidRPr="00A821E7" w:rsidRDefault="00FA7281" w:rsidP="00FA7281">
      <w:pPr>
        <w:ind w:left="4248" w:firstLine="708"/>
        <w:jc w:val="center"/>
        <w:rPr>
          <w:b/>
          <w:color w:val="0D0D0D" w:themeColor="text1" w:themeTint="F2"/>
          <w:sz w:val="24"/>
          <w:szCs w:val="24"/>
          <w:lang w:val="ro-RO"/>
        </w:rPr>
      </w:pPr>
    </w:p>
    <w:p w14:paraId="73916882" w14:textId="77777777" w:rsidR="00FA7281" w:rsidRPr="00A821E7" w:rsidRDefault="00FA7281" w:rsidP="00FA7281">
      <w:pPr>
        <w:jc w:val="right"/>
        <w:rPr>
          <w:b/>
          <w:color w:val="0D0D0D" w:themeColor="text1" w:themeTint="F2"/>
          <w:w w:val="90"/>
          <w:sz w:val="22"/>
          <w:szCs w:val="22"/>
          <w:lang w:val="ro-RO"/>
        </w:rPr>
      </w:pPr>
      <w:r w:rsidRPr="00A821E7">
        <w:rPr>
          <w:b/>
          <w:color w:val="0D0D0D" w:themeColor="text1" w:themeTint="F2"/>
          <w:w w:val="90"/>
          <w:sz w:val="22"/>
          <w:szCs w:val="22"/>
          <w:lang w:val="ro-RO"/>
        </w:rPr>
        <w:t xml:space="preserve">                                                                                                  </w:t>
      </w:r>
    </w:p>
    <w:p w14:paraId="2C6336D8" w14:textId="77777777" w:rsidR="00FA7281" w:rsidRPr="00A821E7" w:rsidRDefault="00FA7281" w:rsidP="00FA7281">
      <w:pPr>
        <w:ind w:firstLine="709"/>
        <w:jc w:val="center"/>
        <w:rPr>
          <w:b/>
          <w:color w:val="0D0D0D" w:themeColor="text1" w:themeTint="F2"/>
          <w:sz w:val="22"/>
          <w:szCs w:val="22"/>
          <w:lang w:val="ro-RO"/>
        </w:rPr>
      </w:pPr>
      <w:r w:rsidRPr="00A821E7">
        <w:rPr>
          <w:b/>
          <w:color w:val="0D0D0D" w:themeColor="text1" w:themeTint="F2"/>
          <w:sz w:val="22"/>
          <w:szCs w:val="22"/>
          <w:lang w:val="ro-RO"/>
        </w:rPr>
        <w:t xml:space="preserve">  H O T Ă R Â R E A     nr. ______</w:t>
      </w:r>
    </w:p>
    <w:p w14:paraId="753BBA6E" w14:textId="77777777" w:rsidR="00FA7281" w:rsidRPr="00A821E7" w:rsidRDefault="00FA7281" w:rsidP="00FA7281">
      <w:pPr>
        <w:ind w:firstLine="709"/>
        <w:jc w:val="center"/>
        <w:rPr>
          <w:b/>
          <w:color w:val="0D0D0D" w:themeColor="text1" w:themeTint="F2"/>
          <w:sz w:val="22"/>
          <w:szCs w:val="22"/>
          <w:lang w:val="ro-RO"/>
        </w:rPr>
      </w:pPr>
      <w:r w:rsidRPr="00A821E7">
        <w:rPr>
          <w:b/>
          <w:color w:val="0D0D0D" w:themeColor="text1" w:themeTint="F2"/>
          <w:sz w:val="22"/>
          <w:szCs w:val="22"/>
          <w:lang w:val="ro-RO"/>
        </w:rPr>
        <w:t>din _____________________ 2019</w:t>
      </w:r>
    </w:p>
    <w:p w14:paraId="0F6C167C" w14:textId="77777777" w:rsidR="00FA7281" w:rsidRPr="00A821E7" w:rsidRDefault="00FA7281" w:rsidP="00FA7281">
      <w:pPr>
        <w:ind w:firstLine="709"/>
        <w:jc w:val="center"/>
        <w:rPr>
          <w:b/>
          <w:color w:val="0D0D0D" w:themeColor="text1" w:themeTint="F2"/>
          <w:sz w:val="22"/>
          <w:szCs w:val="22"/>
          <w:lang w:val="ro-RO"/>
        </w:rPr>
      </w:pPr>
    </w:p>
    <w:p w14:paraId="40A744BA" w14:textId="0F64AD47" w:rsidR="00FA7281" w:rsidRPr="00A821E7" w:rsidRDefault="00FA7281" w:rsidP="00FA7281">
      <w:pPr>
        <w:ind w:firstLine="709"/>
        <w:jc w:val="center"/>
        <w:rPr>
          <w:b/>
          <w:color w:val="0D0D0D" w:themeColor="text1" w:themeTint="F2"/>
          <w:sz w:val="24"/>
          <w:szCs w:val="24"/>
          <w:lang w:val="ro-RO"/>
        </w:rPr>
      </w:pPr>
      <w:r w:rsidRPr="00A821E7">
        <w:rPr>
          <w:b/>
          <w:color w:val="0D0D0D" w:themeColor="text1" w:themeTint="F2"/>
          <w:sz w:val="24"/>
          <w:szCs w:val="24"/>
          <w:lang w:val="ro-RO"/>
        </w:rPr>
        <w:t xml:space="preserve">privind </w:t>
      </w:r>
      <w:r>
        <w:rPr>
          <w:b/>
          <w:color w:val="0D0D0D" w:themeColor="text1" w:themeTint="F2"/>
          <w:sz w:val="24"/>
          <w:szCs w:val="24"/>
          <w:lang w:val="ro-RO"/>
        </w:rPr>
        <w:t>modificarea și completarea Anexei la H.C.L. nr.</w:t>
      </w:r>
      <w:r w:rsidR="003C22BE">
        <w:rPr>
          <w:b/>
          <w:color w:val="0D0D0D" w:themeColor="text1" w:themeTint="F2"/>
          <w:sz w:val="24"/>
          <w:szCs w:val="24"/>
          <w:lang w:val="ro-RO"/>
        </w:rPr>
        <w:t>276</w:t>
      </w:r>
      <w:r>
        <w:rPr>
          <w:b/>
          <w:color w:val="0D0D0D" w:themeColor="text1" w:themeTint="F2"/>
          <w:sz w:val="24"/>
          <w:szCs w:val="24"/>
          <w:lang w:val="ro-RO"/>
        </w:rPr>
        <w:t>/2019</w:t>
      </w:r>
    </w:p>
    <w:p w14:paraId="6C045774" w14:textId="77777777" w:rsidR="00FA7281" w:rsidRPr="00A821E7" w:rsidRDefault="00FA7281" w:rsidP="00FA7281">
      <w:pPr>
        <w:ind w:firstLine="709"/>
        <w:jc w:val="center"/>
        <w:rPr>
          <w:b/>
          <w:color w:val="0D0D0D" w:themeColor="text1" w:themeTint="F2"/>
          <w:sz w:val="24"/>
          <w:szCs w:val="24"/>
          <w:lang w:val="ro-RO"/>
        </w:rPr>
      </w:pPr>
    </w:p>
    <w:p w14:paraId="7D9BECB5" w14:textId="77777777" w:rsidR="00FA7281" w:rsidRPr="00A821E7" w:rsidRDefault="00FA7281" w:rsidP="00FA7281">
      <w:pPr>
        <w:adjustRightInd w:val="0"/>
        <w:ind w:firstLine="709"/>
        <w:jc w:val="center"/>
        <w:rPr>
          <w:b/>
          <w:bCs/>
          <w:i/>
          <w:color w:val="0D0D0D" w:themeColor="text1" w:themeTint="F2"/>
          <w:sz w:val="24"/>
          <w:szCs w:val="24"/>
          <w:lang w:val="ro-RO" w:eastAsia="ro-RO"/>
        </w:rPr>
      </w:pPr>
      <w:r w:rsidRPr="00A821E7">
        <w:rPr>
          <w:b/>
          <w:bCs/>
          <w:i/>
          <w:color w:val="0D0D0D" w:themeColor="text1" w:themeTint="F2"/>
          <w:sz w:val="24"/>
          <w:szCs w:val="24"/>
          <w:lang w:val="ro-RO" w:eastAsia="ro-RO"/>
        </w:rPr>
        <w:t>Consiliul local municipal Târgu Mureş, întrunit în şedinţă ordinară de lucru,</w:t>
      </w:r>
    </w:p>
    <w:p w14:paraId="61D4C76D" w14:textId="77777777" w:rsidR="00FA7281" w:rsidRPr="00A821E7" w:rsidRDefault="00FA7281" w:rsidP="00FA7281">
      <w:pPr>
        <w:adjustRightInd w:val="0"/>
        <w:ind w:firstLine="709"/>
        <w:jc w:val="center"/>
        <w:rPr>
          <w:b/>
          <w:bCs/>
          <w:i/>
          <w:color w:val="0D0D0D" w:themeColor="text1" w:themeTint="F2"/>
          <w:sz w:val="24"/>
          <w:szCs w:val="24"/>
          <w:lang w:val="ro-RO" w:eastAsia="ro-RO"/>
        </w:rPr>
      </w:pPr>
    </w:p>
    <w:p w14:paraId="3AF37B30" w14:textId="5A502723" w:rsidR="00FA7281" w:rsidRPr="00A821E7" w:rsidRDefault="00FA7281" w:rsidP="00FA7281">
      <w:pPr>
        <w:pStyle w:val="Default"/>
        <w:ind w:firstLine="708"/>
        <w:jc w:val="both"/>
        <w:rPr>
          <w:color w:val="0D0D0D" w:themeColor="text1" w:themeTint="F2"/>
        </w:rPr>
      </w:pPr>
      <w:r w:rsidRPr="00A821E7">
        <w:rPr>
          <w:bCs/>
          <w:color w:val="0D0D0D" w:themeColor="text1" w:themeTint="F2"/>
        </w:rPr>
        <w:t xml:space="preserve">Având în vedere </w:t>
      </w:r>
      <w:r w:rsidRPr="00A821E7">
        <w:rPr>
          <w:color w:val="0D0D0D" w:themeColor="text1" w:themeTint="F2"/>
        </w:rPr>
        <w:t>Referatul de aprobare nr</w:t>
      </w:r>
      <w:r w:rsidR="009E382B">
        <w:rPr>
          <w:color w:val="0D0D0D" w:themeColor="text1" w:themeTint="F2"/>
        </w:rPr>
        <w:t>. 70.174</w:t>
      </w:r>
      <w:r>
        <w:rPr>
          <w:color w:val="0D0D0D" w:themeColor="text1" w:themeTint="F2"/>
        </w:rPr>
        <w:t xml:space="preserve"> </w:t>
      </w:r>
      <w:r w:rsidRPr="00A821E7">
        <w:rPr>
          <w:color w:val="0D0D0D" w:themeColor="text1" w:themeTint="F2"/>
        </w:rPr>
        <w:t xml:space="preserve">din </w:t>
      </w:r>
      <w:r>
        <w:rPr>
          <w:color w:val="0D0D0D" w:themeColor="text1" w:themeTint="F2"/>
        </w:rPr>
        <w:t>08</w:t>
      </w:r>
      <w:r w:rsidRPr="00A821E7">
        <w:rPr>
          <w:color w:val="0D0D0D" w:themeColor="text1" w:themeTint="F2"/>
        </w:rPr>
        <w:t>.</w:t>
      </w:r>
      <w:r>
        <w:rPr>
          <w:color w:val="0D0D0D" w:themeColor="text1" w:themeTint="F2"/>
        </w:rPr>
        <w:t>11</w:t>
      </w:r>
      <w:r w:rsidRPr="00A821E7">
        <w:rPr>
          <w:color w:val="0D0D0D" w:themeColor="text1" w:themeTint="F2"/>
        </w:rPr>
        <w:t xml:space="preserve">.2019,  a proiectului de hotărâre privind </w:t>
      </w:r>
      <w:r w:rsidRPr="00FA7281">
        <w:rPr>
          <w:bCs/>
          <w:color w:val="0D0D0D" w:themeColor="text1" w:themeTint="F2"/>
        </w:rPr>
        <w:t xml:space="preserve">modificarea și completarea Anexei </w:t>
      </w:r>
      <w:r w:rsidR="00784A4B">
        <w:rPr>
          <w:bCs/>
          <w:color w:val="0D0D0D" w:themeColor="text1" w:themeTint="F2"/>
        </w:rPr>
        <w:t>l</w:t>
      </w:r>
      <w:r w:rsidRPr="00FA7281">
        <w:rPr>
          <w:bCs/>
          <w:color w:val="0D0D0D" w:themeColor="text1" w:themeTint="F2"/>
        </w:rPr>
        <w:t>a H.C.L. nr.</w:t>
      </w:r>
      <w:r w:rsidR="003C22BE">
        <w:rPr>
          <w:bCs/>
          <w:color w:val="0D0D0D" w:themeColor="text1" w:themeTint="F2"/>
        </w:rPr>
        <w:t>276</w:t>
      </w:r>
      <w:r w:rsidRPr="00FA7281">
        <w:rPr>
          <w:bCs/>
          <w:color w:val="0D0D0D" w:themeColor="text1" w:themeTint="F2"/>
        </w:rPr>
        <w:t>/2019</w:t>
      </w:r>
      <w:r w:rsidRPr="00A821E7">
        <w:rPr>
          <w:bCs/>
          <w:color w:val="0D0D0D" w:themeColor="text1" w:themeTint="F2"/>
        </w:rPr>
        <w:t xml:space="preserve">, </w:t>
      </w:r>
      <w:r w:rsidRPr="00A821E7">
        <w:rPr>
          <w:color w:val="0D0D0D" w:themeColor="text1" w:themeTint="F2"/>
        </w:rPr>
        <w:t>inițiat de Direcția Impozite și Taxe Locale,</w:t>
      </w:r>
    </w:p>
    <w:p w14:paraId="29C9AB11" w14:textId="77777777" w:rsidR="00FA7281" w:rsidRPr="00A821E7" w:rsidRDefault="00FA7281" w:rsidP="00FA7281">
      <w:pPr>
        <w:adjustRightInd w:val="0"/>
        <w:ind w:left="360" w:firstLine="348"/>
        <w:rPr>
          <w:color w:val="0D0D0D" w:themeColor="text1" w:themeTint="F2"/>
          <w:sz w:val="24"/>
          <w:szCs w:val="24"/>
          <w:lang w:val="ro-RO"/>
        </w:rPr>
      </w:pPr>
      <w:r w:rsidRPr="00A821E7">
        <w:rPr>
          <w:color w:val="0D0D0D" w:themeColor="text1" w:themeTint="F2"/>
          <w:sz w:val="24"/>
          <w:szCs w:val="24"/>
          <w:lang w:val="ro-RO" w:eastAsia="ro-RO"/>
        </w:rPr>
        <w:t>văzând</w:t>
      </w:r>
      <w:r w:rsidRPr="00A821E7">
        <w:rPr>
          <w:b/>
          <w:bCs/>
          <w:color w:val="0D0D0D" w:themeColor="text1" w:themeTint="F2"/>
          <w:sz w:val="24"/>
          <w:szCs w:val="24"/>
          <w:lang w:val="ro-RO" w:eastAsia="ro-RO"/>
        </w:rPr>
        <w:t xml:space="preserve"> </w:t>
      </w:r>
      <w:r w:rsidRPr="00A821E7">
        <w:rPr>
          <w:color w:val="0D0D0D" w:themeColor="text1" w:themeTint="F2"/>
          <w:sz w:val="24"/>
          <w:szCs w:val="24"/>
          <w:lang w:val="ro-RO"/>
        </w:rPr>
        <w:t>Raportul Comisiilor de specialitate din cadrul Consiliului local municipal Târgu Mureș,</w:t>
      </w:r>
    </w:p>
    <w:p w14:paraId="38B481B8" w14:textId="77777777" w:rsidR="00FA7281" w:rsidRPr="00FA7281" w:rsidRDefault="00FA7281" w:rsidP="00FA7281">
      <w:pPr>
        <w:autoSpaceDE w:val="0"/>
        <w:autoSpaceDN w:val="0"/>
        <w:adjustRightInd w:val="0"/>
        <w:ind w:firstLine="708"/>
        <w:jc w:val="both"/>
        <w:rPr>
          <w:rFonts w:eastAsiaTheme="minorHAnsi"/>
          <w:sz w:val="24"/>
          <w:szCs w:val="24"/>
          <w:lang w:val="ro-RO"/>
        </w:rPr>
      </w:pPr>
      <w:r w:rsidRPr="00A821E7">
        <w:rPr>
          <w:bCs/>
          <w:color w:val="0D0D0D" w:themeColor="text1" w:themeTint="F2"/>
          <w:sz w:val="24"/>
          <w:szCs w:val="24"/>
          <w:lang w:val="ro-RO"/>
        </w:rPr>
        <w:t xml:space="preserve">ținând cont de prevederile art. 32 din </w:t>
      </w:r>
      <w:proofErr w:type="spellStart"/>
      <w:r w:rsidRPr="00A821E7">
        <w:rPr>
          <w:bCs/>
          <w:color w:val="0D0D0D" w:themeColor="text1" w:themeTint="F2"/>
          <w:sz w:val="24"/>
          <w:szCs w:val="24"/>
          <w:lang w:val="ro-RO"/>
        </w:rPr>
        <w:t>O.G.nr</w:t>
      </w:r>
      <w:proofErr w:type="spellEnd"/>
      <w:r w:rsidRPr="00A821E7">
        <w:rPr>
          <w:bCs/>
          <w:color w:val="0D0D0D" w:themeColor="text1" w:themeTint="F2"/>
          <w:sz w:val="24"/>
          <w:szCs w:val="24"/>
          <w:lang w:val="ro-RO"/>
        </w:rPr>
        <w:t>. 6/2019, privind instituirea unor facilități fiscale</w:t>
      </w:r>
      <w:r>
        <w:rPr>
          <w:bCs/>
          <w:color w:val="0D0D0D" w:themeColor="text1" w:themeTint="F2"/>
          <w:sz w:val="24"/>
          <w:szCs w:val="24"/>
          <w:lang w:val="ro-RO"/>
        </w:rPr>
        <w:t xml:space="preserve"> și ale </w:t>
      </w:r>
      <w:r>
        <w:rPr>
          <w:rFonts w:eastAsiaTheme="minorHAnsi"/>
          <w:sz w:val="28"/>
          <w:szCs w:val="28"/>
          <w:lang w:val="ro-RO"/>
        </w:rPr>
        <w:t xml:space="preserve">  </w:t>
      </w:r>
      <w:r w:rsidRPr="00FA7281">
        <w:rPr>
          <w:rFonts w:eastAsiaTheme="minorHAnsi"/>
          <w:sz w:val="24"/>
          <w:szCs w:val="24"/>
          <w:lang w:val="ro-RO"/>
        </w:rPr>
        <w:t>O</w:t>
      </w:r>
      <w:r>
        <w:rPr>
          <w:rFonts w:eastAsiaTheme="minorHAnsi"/>
          <w:sz w:val="24"/>
          <w:szCs w:val="24"/>
          <w:lang w:val="ro-RO"/>
        </w:rPr>
        <w:t>.M.F. n</w:t>
      </w:r>
      <w:r w:rsidRPr="00FA7281">
        <w:rPr>
          <w:rFonts w:eastAsiaTheme="minorHAnsi"/>
          <w:sz w:val="24"/>
          <w:szCs w:val="24"/>
          <w:lang w:val="ro-RO"/>
        </w:rPr>
        <w:t>r. 3126/2019</w:t>
      </w:r>
      <w:r>
        <w:rPr>
          <w:rFonts w:eastAsiaTheme="minorHAnsi"/>
          <w:sz w:val="24"/>
          <w:szCs w:val="24"/>
          <w:lang w:val="ro-RO"/>
        </w:rPr>
        <w:t xml:space="preserve">, </w:t>
      </w:r>
      <w:r w:rsidRPr="00FA7281">
        <w:rPr>
          <w:rFonts w:eastAsiaTheme="minorHAnsi"/>
          <w:sz w:val="24"/>
          <w:szCs w:val="24"/>
          <w:lang w:val="ro-RO"/>
        </w:rPr>
        <w:t>pentru aprobarea Procedurii de anulare a obligaţiilor de plată accesorii şi privind modificarea Ordinului ministrului finanţelor publice nr. 2.810/2019 pentru aprobarea procedurii de aplicare a măsurilor de restructurare a obligaţiilor bugetare restante la 31 decembrie 2018 în cazul debitorilor care au datorii principale în cuantum mai mare sau egal cu suma de un milion lei</w:t>
      </w:r>
    </w:p>
    <w:p w14:paraId="7FA6BDD2" w14:textId="77777777" w:rsidR="00FA7281" w:rsidRPr="00A821E7" w:rsidRDefault="00FA7281" w:rsidP="00FA7281">
      <w:pPr>
        <w:tabs>
          <w:tab w:val="left" w:pos="9356"/>
        </w:tabs>
        <w:ind w:firstLine="709"/>
        <w:jc w:val="both"/>
        <w:rPr>
          <w:b/>
          <w:color w:val="0D0D0D" w:themeColor="text1" w:themeTint="F2"/>
          <w:sz w:val="24"/>
          <w:szCs w:val="24"/>
          <w:lang w:val="ro-RO" w:eastAsia="ro-RO"/>
        </w:rPr>
      </w:pPr>
      <w:r w:rsidRPr="00A821E7">
        <w:rPr>
          <w:color w:val="0D0D0D" w:themeColor="text1" w:themeTint="F2"/>
          <w:sz w:val="24"/>
          <w:szCs w:val="24"/>
          <w:lang w:val="ro-RO"/>
        </w:rPr>
        <w:t xml:space="preserve">În temeiul art. 129 alin. (1), alin. (2) </w:t>
      </w:r>
      <w:proofErr w:type="spellStart"/>
      <w:r w:rsidRPr="00A821E7">
        <w:rPr>
          <w:color w:val="0D0D0D" w:themeColor="text1" w:themeTint="F2"/>
          <w:sz w:val="24"/>
          <w:szCs w:val="24"/>
          <w:lang w:val="ro-RO"/>
        </w:rPr>
        <w:t>lit.b</w:t>
      </w:r>
      <w:proofErr w:type="spellEnd"/>
      <w:r>
        <w:rPr>
          <w:color w:val="0D0D0D" w:themeColor="text1" w:themeTint="F2"/>
          <w:sz w:val="24"/>
          <w:szCs w:val="24"/>
          <w:lang w:val="ro-RO"/>
        </w:rPr>
        <w:t xml:space="preserve">, alin.(4) </w:t>
      </w:r>
      <w:proofErr w:type="spellStart"/>
      <w:r>
        <w:rPr>
          <w:color w:val="0D0D0D" w:themeColor="text1" w:themeTint="F2"/>
          <w:sz w:val="24"/>
          <w:szCs w:val="24"/>
          <w:lang w:val="ro-RO"/>
        </w:rPr>
        <w:t>lit.c</w:t>
      </w:r>
      <w:proofErr w:type="spellEnd"/>
      <w:r w:rsidRPr="00A821E7">
        <w:rPr>
          <w:color w:val="0D0D0D" w:themeColor="text1" w:themeTint="F2"/>
          <w:sz w:val="24"/>
          <w:szCs w:val="24"/>
          <w:lang w:val="ro-RO"/>
        </w:rPr>
        <w:t>, art. 133 alin. (1), art. 139</w:t>
      </w:r>
      <w:r>
        <w:rPr>
          <w:color w:val="0D0D0D" w:themeColor="text1" w:themeTint="F2"/>
          <w:sz w:val="24"/>
          <w:szCs w:val="24"/>
          <w:lang w:val="ro-RO"/>
        </w:rPr>
        <w:t xml:space="preserve"> alin.3 </w:t>
      </w:r>
      <w:proofErr w:type="spellStart"/>
      <w:r>
        <w:rPr>
          <w:color w:val="0D0D0D" w:themeColor="text1" w:themeTint="F2"/>
          <w:sz w:val="24"/>
          <w:szCs w:val="24"/>
          <w:lang w:val="ro-RO"/>
        </w:rPr>
        <w:t>lit.c</w:t>
      </w:r>
      <w:proofErr w:type="spellEnd"/>
      <w:r w:rsidRPr="00A821E7">
        <w:rPr>
          <w:color w:val="0D0D0D" w:themeColor="text1" w:themeTint="F2"/>
          <w:sz w:val="24"/>
          <w:szCs w:val="24"/>
          <w:lang w:val="ro-RO"/>
        </w:rPr>
        <w:t xml:space="preserve"> si art. 196</w:t>
      </w:r>
      <w:r>
        <w:rPr>
          <w:color w:val="0D0D0D" w:themeColor="text1" w:themeTint="F2"/>
          <w:sz w:val="24"/>
          <w:szCs w:val="24"/>
          <w:lang w:val="ro-RO"/>
        </w:rPr>
        <w:t xml:space="preserve"> alin.(1) </w:t>
      </w:r>
      <w:proofErr w:type="spellStart"/>
      <w:r>
        <w:rPr>
          <w:color w:val="0D0D0D" w:themeColor="text1" w:themeTint="F2"/>
          <w:sz w:val="24"/>
          <w:szCs w:val="24"/>
          <w:lang w:val="ro-RO"/>
        </w:rPr>
        <w:t>lit.a</w:t>
      </w:r>
      <w:proofErr w:type="spellEnd"/>
      <w:r w:rsidRPr="00A821E7">
        <w:rPr>
          <w:color w:val="0D0D0D" w:themeColor="text1" w:themeTint="F2"/>
          <w:sz w:val="24"/>
          <w:szCs w:val="24"/>
          <w:lang w:val="ro-RO"/>
        </w:rPr>
        <w:t xml:space="preserve"> din  </w:t>
      </w:r>
      <w:r w:rsidRPr="00A821E7">
        <w:rPr>
          <w:color w:val="0D0D0D" w:themeColor="text1" w:themeTint="F2"/>
          <w:sz w:val="24"/>
          <w:szCs w:val="24"/>
          <w:lang w:val="ro-RO" w:eastAsia="ro-RO"/>
        </w:rPr>
        <w:t xml:space="preserve">O.U.G. nr. 57/2019 privind Codul Administrativ </w:t>
      </w:r>
    </w:p>
    <w:p w14:paraId="3ACD2BD5" w14:textId="77777777" w:rsidR="00FA7281" w:rsidRPr="00A821E7" w:rsidRDefault="00FA7281" w:rsidP="00FA7281">
      <w:pPr>
        <w:adjustRightInd w:val="0"/>
        <w:ind w:firstLine="709"/>
        <w:jc w:val="center"/>
        <w:rPr>
          <w:b/>
          <w:bCs/>
          <w:color w:val="0D0D0D" w:themeColor="text1" w:themeTint="F2"/>
          <w:sz w:val="24"/>
          <w:szCs w:val="24"/>
          <w:lang w:val="ro-RO" w:eastAsia="ro-RO"/>
        </w:rPr>
      </w:pPr>
    </w:p>
    <w:p w14:paraId="6C175EAC" w14:textId="77777777" w:rsidR="00FA7281" w:rsidRPr="00A821E7" w:rsidRDefault="00FA7281" w:rsidP="00FA7281">
      <w:pPr>
        <w:adjustRightInd w:val="0"/>
        <w:ind w:firstLine="709"/>
        <w:jc w:val="center"/>
        <w:rPr>
          <w:color w:val="0D0D0D" w:themeColor="text1" w:themeTint="F2"/>
          <w:sz w:val="24"/>
          <w:szCs w:val="24"/>
          <w:lang w:val="ro-RO" w:eastAsia="ro-RO"/>
        </w:rPr>
      </w:pPr>
      <w:r w:rsidRPr="00A821E7">
        <w:rPr>
          <w:b/>
          <w:bCs/>
          <w:color w:val="0D0D0D" w:themeColor="text1" w:themeTint="F2"/>
          <w:sz w:val="24"/>
          <w:szCs w:val="24"/>
          <w:lang w:val="ro-RO" w:eastAsia="ro-RO"/>
        </w:rPr>
        <w:t xml:space="preserve">H o t ă r ă ş t e </w:t>
      </w:r>
      <w:r w:rsidRPr="00A821E7">
        <w:rPr>
          <w:color w:val="0D0D0D" w:themeColor="text1" w:themeTint="F2"/>
          <w:sz w:val="24"/>
          <w:szCs w:val="24"/>
          <w:lang w:val="ro-RO" w:eastAsia="ro-RO"/>
        </w:rPr>
        <w:t>:</w:t>
      </w:r>
    </w:p>
    <w:p w14:paraId="5797D396" w14:textId="77777777" w:rsidR="00FA7281" w:rsidRPr="00A821E7" w:rsidRDefault="00FA7281" w:rsidP="00FA7281">
      <w:pPr>
        <w:ind w:firstLine="709"/>
        <w:jc w:val="both"/>
        <w:rPr>
          <w:color w:val="0D0D0D" w:themeColor="text1" w:themeTint="F2"/>
          <w:sz w:val="24"/>
          <w:szCs w:val="24"/>
          <w:lang w:val="ro-RO"/>
        </w:rPr>
      </w:pPr>
    </w:p>
    <w:p w14:paraId="769CF8EE" w14:textId="3732511E" w:rsidR="00FA7281" w:rsidRDefault="00FA7281" w:rsidP="00FA7281">
      <w:pPr>
        <w:ind w:firstLine="709"/>
        <w:jc w:val="both"/>
        <w:rPr>
          <w:bCs/>
          <w:color w:val="0D0D0D" w:themeColor="text1" w:themeTint="F2"/>
          <w:sz w:val="24"/>
          <w:szCs w:val="24"/>
          <w:lang w:val="ro-RO"/>
        </w:rPr>
      </w:pPr>
      <w:r w:rsidRPr="00A821E7">
        <w:rPr>
          <w:b/>
          <w:color w:val="0D0D0D" w:themeColor="text1" w:themeTint="F2"/>
          <w:sz w:val="24"/>
          <w:szCs w:val="24"/>
          <w:lang w:val="ro-RO"/>
        </w:rPr>
        <w:t>Art. 1</w:t>
      </w:r>
      <w:r w:rsidRPr="00A821E7">
        <w:rPr>
          <w:color w:val="0D0D0D" w:themeColor="text1" w:themeTint="F2"/>
          <w:sz w:val="24"/>
          <w:szCs w:val="24"/>
          <w:lang w:val="ro-RO"/>
        </w:rPr>
        <w:t xml:space="preserve"> </w:t>
      </w:r>
      <w:r w:rsidRPr="00A821E7">
        <w:rPr>
          <w:b/>
          <w:color w:val="0D0D0D" w:themeColor="text1" w:themeTint="F2"/>
          <w:sz w:val="24"/>
          <w:szCs w:val="24"/>
          <w:lang w:val="ro-RO"/>
        </w:rPr>
        <w:t xml:space="preserve">. </w:t>
      </w:r>
      <w:r w:rsidRPr="00A821E7">
        <w:rPr>
          <w:color w:val="0D0D0D" w:themeColor="text1" w:themeTint="F2"/>
          <w:sz w:val="24"/>
          <w:szCs w:val="24"/>
          <w:lang w:val="ro-RO"/>
        </w:rPr>
        <w:t xml:space="preserve">Se aprobă </w:t>
      </w:r>
      <w:r w:rsidRPr="00FA7281">
        <w:rPr>
          <w:bCs/>
          <w:color w:val="0D0D0D" w:themeColor="text1" w:themeTint="F2"/>
          <w:sz w:val="24"/>
          <w:szCs w:val="24"/>
          <w:lang w:val="ro-RO"/>
        </w:rPr>
        <w:t>modificarea și completarea Anexei la H.C.L. nr.</w:t>
      </w:r>
      <w:r w:rsidR="003C22BE">
        <w:rPr>
          <w:bCs/>
          <w:color w:val="0D0D0D" w:themeColor="text1" w:themeTint="F2"/>
          <w:sz w:val="24"/>
          <w:szCs w:val="24"/>
          <w:lang w:val="ro-RO"/>
        </w:rPr>
        <w:t>276</w:t>
      </w:r>
      <w:r w:rsidRPr="00FA7281">
        <w:rPr>
          <w:bCs/>
          <w:color w:val="0D0D0D" w:themeColor="text1" w:themeTint="F2"/>
          <w:sz w:val="24"/>
          <w:szCs w:val="24"/>
          <w:lang w:val="ro-RO"/>
        </w:rPr>
        <w:t>/2019</w:t>
      </w:r>
      <w:r>
        <w:rPr>
          <w:bCs/>
          <w:color w:val="0D0D0D" w:themeColor="text1" w:themeTint="F2"/>
          <w:sz w:val="24"/>
          <w:szCs w:val="24"/>
          <w:lang w:val="ro-RO"/>
        </w:rPr>
        <w:t>, astfel:</w:t>
      </w:r>
    </w:p>
    <w:p w14:paraId="7F06C1B0" w14:textId="424E6BE2" w:rsidR="00FA7281" w:rsidRDefault="00FA7281" w:rsidP="00FA7281">
      <w:pPr>
        <w:ind w:firstLine="709"/>
        <w:jc w:val="both"/>
        <w:rPr>
          <w:bCs/>
          <w:color w:val="0D0D0D" w:themeColor="text1" w:themeTint="F2"/>
          <w:sz w:val="24"/>
          <w:szCs w:val="24"/>
          <w:lang w:val="ro-RO"/>
        </w:rPr>
      </w:pPr>
      <w:r>
        <w:rPr>
          <w:bCs/>
          <w:color w:val="0D0D0D" w:themeColor="text1" w:themeTint="F2"/>
          <w:sz w:val="24"/>
          <w:szCs w:val="24"/>
          <w:lang w:val="ro-RO"/>
        </w:rPr>
        <w:t xml:space="preserve">Aliniatul (16) al capitolului 4 din Anexa la  </w:t>
      </w:r>
      <w:r w:rsidRPr="00FA7281">
        <w:rPr>
          <w:bCs/>
          <w:color w:val="0D0D0D" w:themeColor="text1" w:themeTint="F2"/>
          <w:sz w:val="24"/>
          <w:szCs w:val="24"/>
          <w:lang w:val="ro-RO"/>
        </w:rPr>
        <w:t>H.C.L. nr./2019</w:t>
      </w:r>
      <w:r>
        <w:rPr>
          <w:bCs/>
          <w:color w:val="0D0D0D" w:themeColor="text1" w:themeTint="F2"/>
          <w:sz w:val="24"/>
          <w:szCs w:val="24"/>
          <w:lang w:val="ro-RO"/>
        </w:rPr>
        <w:t>, se modifică și va avea următorul conținut:</w:t>
      </w:r>
    </w:p>
    <w:p w14:paraId="57A1FB65" w14:textId="63D37929" w:rsidR="00784A4B" w:rsidRPr="00784A4B" w:rsidRDefault="00784A4B" w:rsidP="00784A4B">
      <w:pPr>
        <w:autoSpaceDE w:val="0"/>
        <w:autoSpaceDN w:val="0"/>
        <w:adjustRightInd w:val="0"/>
        <w:ind w:firstLine="708"/>
        <w:jc w:val="both"/>
        <w:rPr>
          <w:rFonts w:eastAsiaTheme="minorHAnsi"/>
          <w:i/>
          <w:iCs/>
          <w:sz w:val="24"/>
          <w:szCs w:val="24"/>
          <w:lang w:val="ro-RO"/>
        </w:rPr>
      </w:pPr>
      <w:r w:rsidRPr="00784A4B">
        <w:rPr>
          <w:bCs/>
          <w:i/>
          <w:iCs/>
          <w:color w:val="0D0D0D" w:themeColor="text1" w:themeTint="F2"/>
          <w:sz w:val="24"/>
          <w:szCs w:val="24"/>
          <w:lang w:val="ro-RO"/>
        </w:rPr>
        <w:t>”</w:t>
      </w:r>
      <w:r w:rsidRPr="00784A4B">
        <w:rPr>
          <w:i/>
          <w:iCs/>
        </w:rPr>
        <w:t xml:space="preserve"> </w:t>
      </w:r>
      <w:proofErr w:type="spellStart"/>
      <w:r w:rsidRPr="00784A4B">
        <w:rPr>
          <w:i/>
          <w:iCs/>
          <w:sz w:val="24"/>
          <w:szCs w:val="24"/>
        </w:rPr>
        <w:t>Prezenta</w:t>
      </w:r>
      <w:proofErr w:type="spellEnd"/>
      <w:r w:rsidRPr="00784A4B">
        <w:rPr>
          <w:i/>
          <w:iCs/>
          <w:sz w:val="24"/>
          <w:szCs w:val="24"/>
        </w:rPr>
        <w:t xml:space="preserve"> </w:t>
      </w:r>
      <w:proofErr w:type="spellStart"/>
      <w:r w:rsidRPr="00784A4B">
        <w:rPr>
          <w:i/>
          <w:iCs/>
          <w:sz w:val="24"/>
          <w:szCs w:val="24"/>
        </w:rPr>
        <w:t>procedură</w:t>
      </w:r>
      <w:proofErr w:type="spellEnd"/>
      <w:r w:rsidRPr="00784A4B">
        <w:rPr>
          <w:i/>
          <w:iCs/>
          <w:sz w:val="24"/>
          <w:szCs w:val="24"/>
        </w:rPr>
        <w:t xml:space="preserve"> se </w:t>
      </w:r>
      <w:proofErr w:type="spellStart"/>
      <w:r w:rsidRPr="00784A4B">
        <w:rPr>
          <w:i/>
          <w:iCs/>
          <w:sz w:val="24"/>
          <w:szCs w:val="24"/>
        </w:rPr>
        <w:t>completează</w:t>
      </w:r>
      <w:proofErr w:type="spellEnd"/>
      <w:r w:rsidRPr="00784A4B">
        <w:rPr>
          <w:i/>
          <w:iCs/>
          <w:sz w:val="24"/>
          <w:szCs w:val="24"/>
        </w:rPr>
        <w:t xml:space="preserve"> cu </w:t>
      </w:r>
      <w:proofErr w:type="spellStart"/>
      <w:r w:rsidRPr="00784A4B">
        <w:rPr>
          <w:i/>
          <w:iCs/>
          <w:sz w:val="24"/>
          <w:szCs w:val="24"/>
        </w:rPr>
        <w:t>prevederile</w:t>
      </w:r>
      <w:proofErr w:type="spellEnd"/>
      <w:r w:rsidRPr="00784A4B">
        <w:rPr>
          <w:i/>
          <w:iCs/>
          <w:sz w:val="24"/>
          <w:szCs w:val="24"/>
        </w:rPr>
        <w:t xml:space="preserve"> OG </w:t>
      </w:r>
      <w:proofErr w:type="spellStart"/>
      <w:r w:rsidRPr="00784A4B">
        <w:rPr>
          <w:i/>
          <w:iCs/>
          <w:sz w:val="24"/>
          <w:szCs w:val="24"/>
        </w:rPr>
        <w:t>nr</w:t>
      </w:r>
      <w:proofErr w:type="spellEnd"/>
      <w:r w:rsidRPr="00784A4B">
        <w:rPr>
          <w:i/>
          <w:iCs/>
          <w:sz w:val="24"/>
          <w:szCs w:val="24"/>
        </w:rPr>
        <w:t>. 6/2019</w:t>
      </w:r>
      <w:r w:rsidRPr="00784A4B">
        <w:rPr>
          <w:bCs/>
          <w:i/>
          <w:iCs/>
          <w:color w:val="0D0D0D" w:themeColor="text1" w:themeTint="F2"/>
          <w:sz w:val="24"/>
          <w:szCs w:val="24"/>
          <w:lang w:val="ro-RO"/>
        </w:rPr>
        <w:t xml:space="preserve"> privind instituirea unor facilități fiscale, iar în situațiile în care prezenta procedură nu </w:t>
      </w:r>
      <w:proofErr w:type="gramStart"/>
      <w:r w:rsidRPr="00784A4B">
        <w:rPr>
          <w:bCs/>
          <w:i/>
          <w:iCs/>
          <w:color w:val="0D0D0D" w:themeColor="text1" w:themeTint="F2"/>
          <w:sz w:val="24"/>
          <w:szCs w:val="24"/>
          <w:lang w:val="ro-RO"/>
        </w:rPr>
        <w:t>dispune  ș</w:t>
      </w:r>
      <w:proofErr w:type="gramEnd"/>
      <w:r w:rsidRPr="00784A4B">
        <w:rPr>
          <w:bCs/>
          <w:i/>
          <w:iCs/>
          <w:color w:val="0D0D0D" w:themeColor="text1" w:themeTint="F2"/>
          <w:sz w:val="24"/>
          <w:szCs w:val="24"/>
          <w:lang w:val="ro-RO"/>
        </w:rPr>
        <w:t>i cu prevederile</w:t>
      </w:r>
      <w:r w:rsidRPr="00784A4B">
        <w:rPr>
          <w:rFonts w:eastAsiaTheme="minorHAnsi"/>
          <w:i/>
          <w:iCs/>
          <w:sz w:val="24"/>
          <w:szCs w:val="24"/>
          <w:lang w:val="ro-RO"/>
        </w:rPr>
        <w:t xml:space="preserve"> O.M.F. nr. 3126/2019, pentru aprobarea Procedurii de anulare a obligaţiilor de plată accesorii şi privind modificarea Ordinului ministrului finanţelor publice nr. 2.810/2019 pentru aprobarea procedurii de aplicare a măsurilor de restructurare a obligaţiilor bugetare restante la 31 decembrie 2018 în cazul debitorilor care au datorii principale în cuantum mai mare sau egal cu suma de un milion lei, termenele și condițiile de acordare a facilităților fiscale interpretându-se în sensul celor prevăzute în O.M.F. nr. 3126/2019.”</w:t>
      </w:r>
    </w:p>
    <w:p w14:paraId="353179F0" w14:textId="6F5DC279" w:rsidR="00FA7281" w:rsidRPr="00A821E7" w:rsidRDefault="00FA7281" w:rsidP="00FA7281">
      <w:pPr>
        <w:ind w:firstLine="709"/>
        <w:jc w:val="both"/>
        <w:rPr>
          <w:color w:val="0D0D0D" w:themeColor="text1" w:themeTint="F2"/>
          <w:sz w:val="24"/>
          <w:szCs w:val="24"/>
          <w:lang w:val="ro-RO"/>
        </w:rPr>
      </w:pPr>
      <w:r w:rsidRPr="00A821E7">
        <w:rPr>
          <w:b/>
          <w:color w:val="0D0D0D" w:themeColor="text1" w:themeTint="F2"/>
          <w:sz w:val="24"/>
          <w:szCs w:val="24"/>
          <w:lang w:val="ro-RO"/>
        </w:rPr>
        <w:t xml:space="preserve">Art. </w:t>
      </w:r>
      <w:r w:rsidR="003C22BE">
        <w:rPr>
          <w:b/>
          <w:color w:val="0D0D0D" w:themeColor="text1" w:themeTint="F2"/>
          <w:sz w:val="24"/>
          <w:szCs w:val="24"/>
          <w:lang w:val="ro-RO"/>
        </w:rPr>
        <w:t>2</w:t>
      </w:r>
      <w:r w:rsidRPr="00A821E7">
        <w:rPr>
          <w:b/>
          <w:color w:val="0D0D0D" w:themeColor="text1" w:themeTint="F2"/>
          <w:sz w:val="24"/>
          <w:szCs w:val="24"/>
          <w:lang w:val="ro-RO"/>
        </w:rPr>
        <w:t xml:space="preserve"> </w:t>
      </w:r>
      <w:r w:rsidRPr="00A821E7">
        <w:rPr>
          <w:color w:val="0D0D0D" w:themeColor="text1" w:themeTint="F2"/>
          <w:sz w:val="24"/>
          <w:szCs w:val="24"/>
          <w:lang w:val="ro-RO"/>
        </w:rPr>
        <w:t>Cu aducerea la îndeplinire a prevederilor prezentei hotărâri se încredinţează Executivul Municipiului Târgu Mureş prin  Direcția Impozite și Taxe Locale.</w:t>
      </w:r>
    </w:p>
    <w:p w14:paraId="461FBBFC" w14:textId="76DED556" w:rsidR="00FA7281" w:rsidRPr="00A821E7" w:rsidRDefault="00FA7281" w:rsidP="00FA7281">
      <w:pPr>
        <w:ind w:firstLine="709"/>
        <w:jc w:val="both"/>
        <w:rPr>
          <w:color w:val="0D0D0D" w:themeColor="text1" w:themeTint="F2"/>
          <w:sz w:val="24"/>
          <w:szCs w:val="24"/>
          <w:lang w:val="ro-RO"/>
        </w:rPr>
      </w:pPr>
      <w:r w:rsidRPr="00A821E7">
        <w:rPr>
          <w:b/>
          <w:color w:val="0D0D0D" w:themeColor="text1" w:themeTint="F2"/>
          <w:sz w:val="24"/>
          <w:szCs w:val="24"/>
          <w:lang w:val="ro-RO"/>
        </w:rPr>
        <w:t xml:space="preserve">Art. </w:t>
      </w:r>
      <w:r w:rsidR="003C22BE">
        <w:rPr>
          <w:b/>
          <w:color w:val="0D0D0D" w:themeColor="text1" w:themeTint="F2"/>
          <w:sz w:val="24"/>
          <w:szCs w:val="24"/>
          <w:lang w:val="ro-RO"/>
        </w:rPr>
        <w:t>3</w:t>
      </w:r>
      <w:r w:rsidRPr="00A821E7">
        <w:rPr>
          <w:b/>
          <w:color w:val="0D0D0D" w:themeColor="text1" w:themeTint="F2"/>
          <w:sz w:val="24"/>
          <w:szCs w:val="24"/>
          <w:lang w:val="ro-RO"/>
        </w:rPr>
        <w:t xml:space="preserve">.  </w:t>
      </w:r>
      <w:r w:rsidRPr="00A821E7">
        <w:rPr>
          <w:color w:val="0D0D0D" w:themeColor="text1" w:themeTint="F2"/>
          <w:sz w:val="24"/>
          <w:szCs w:val="24"/>
          <w:lang w:val="ro-RO"/>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r w:rsidRPr="00A821E7">
        <w:rPr>
          <w:b/>
          <w:color w:val="0D0D0D" w:themeColor="text1" w:themeTint="F2"/>
          <w:sz w:val="24"/>
          <w:szCs w:val="24"/>
          <w:lang w:val="ro-RO"/>
        </w:rPr>
        <w:tab/>
      </w:r>
    </w:p>
    <w:p w14:paraId="0357C606" w14:textId="77777777" w:rsidR="00FA7281" w:rsidRPr="00A821E7" w:rsidRDefault="00FA7281" w:rsidP="00FA7281">
      <w:pPr>
        <w:ind w:firstLine="709"/>
        <w:jc w:val="center"/>
        <w:rPr>
          <w:rFonts w:eastAsia="Umbra BT"/>
          <w:b/>
          <w:color w:val="0D0D0D" w:themeColor="text1" w:themeTint="F2"/>
          <w:sz w:val="24"/>
          <w:szCs w:val="24"/>
          <w:lang w:val="ro-RO" w:eastAsia="ro-RO"/>
        </w:rPr>
      </w:pPr>
    </w:p>
    <w:p w14:paraId="59549691" w14:textId="77777777" w:rsidR="00FA7281" w:rsidRPr="00A821E7" w:rsidRDefault="00FA7281" w:rsidP="00FA7281">
      <w:pPr>
        <w:ind w:firstLine="709"/>
        <w:jc w:val="center"/>
        <w:rPr>
          <w:rFonts w:eastAsia="Umbra BT"/>
          <w:b/>
          <w:color w:val="0D0D0D" w:themeColor="text1" w:themeTint="F2"/>
          <w:sz w:val="24"/>
          <w:szCs w:val="24"/>
          <w:lang w:val="ro-RO" w:eastAsia="ro-RO"/>
        </w:rPr>
      </w:pPr>
      <w:r w:rsidRPr="00A821E7">
        <w:rPr>
          <w:rFonts w:eastAsia="Umbra BT"/>
          <w:b/>
          <w:color w:val="0D0D0D" w:themeColor="text1" w:themeTint="F2"/>
          <w:sz w:val="24"/>
          <w:szCs w:val="24"/>
          <w:lang w:val="ro-RO" w:eastAsia="ro-RO"/>
        </w:rPr>
        <w:t>Viză de legalitate</w:t>
      </w:r>
    </w:p>
    <w:p w14:paraId="1D210FF8" w14:textId="77777777" w:rsidR="00FA7281" w:rsidRPr="00A821E7" w:rsidRDefault="00FA7281" w:rsidP="00FA7281">
      <w:pPr>
        <w:ind w:firstLine="709"/>
        <w:jc w:val="center"/>
        <w:rPr>
          <w:b/>
          <w:color w:val="0D0D0D" w:themeColor="text1" w:themeTint="F2"/>
          <w:sz w:val="24"/>
          <w:szCs w:val="24"/>
          <w:lang w:val="ro-RO"/>
        </w:rPr>
      </w:pPr>
      <w:r w:rsidRPr="00A821E7">
        <w:rPr>
          <w:b/>
          <w:color w:val="0D0D0D" w:themeColor="text1" w:themeTint="F2"/>
          <w:sz w:val="24"/>
          <w:szCs w:val="24"/>
          <w:lang w:val="ro-RO"/>
        </w:rPr>
        <w:t>Secretarul Municipiului Târgu Mureş,</w:t>
      </w:r>
    </w:p>
    <w:p w14:paraId="186E6806" w14:textId="77777777" w:rsidR="00FA7281" w:rsidRPr="00A821E7" w:rsidRDefault="00FA7281" w:rsidP="00FA7281">
      <w:pPr>
        <w:ind w:firstLine="709"/>
        <w:jc w:val="center"/>
        <w:rPr>
          <w:b/>
          <w:color w:val="0D0D0D" w:themeColor="text1" w:themeTint="F2"/>
          <w:sz w:val="24"/>
          <w:szCs w:val="24"/>
          <w:lang w:val="ro-RO"/>
        </w:rPr>
      </w:pPr>
      <w:r w:rsidRPr="00A821E7">
        <w:rPr>
          <w:b/>
          <w:color w:val="0D0D0D" w:themeColor="text1" w:themeTint="F2"/>
          <w:sz w:val="24"/>
          <w:szCs w:val="24"/>
          <w:lang w:val="ro-RO"/>
        </w:rPr>
        <w:t xml:space="preserve">Buculei </w:t>
      </w:r>
      <w:proofErr w:type="spellStart"/>
      <w:r w:rsidRPr="00A821E7">
        <w:rPr>
          <w:b/>
          <w:color w:val="0D0D0D" w:themeColor="text1" w:themeTint="F2"/>
          <w:sz w:val="24"/>
          <w:szCs w:val="24"/>
          <w:lang w:val="ro-RO"/>
        </w:rPr>
        <w:t>Dianora-Monica</w:t>
      </w:r>
      <w:proofErr w:type="spellEnd"/>
    </w:p>
    <w:p w14:paraId="40F31149" w14:textId="7FEB3F9E" w:rsidR="00FA7281" w:rsidRDefault="00FA7281" w:rsidP="00556C22">
      <w:pPr>
        <w:rPr>
          <w:b/>
          <w:color w:val="0D0D0D" w:themeColor="text1" w:themeTint="F2"/>
          <w:sz w:val="22"/>
          <w:szCs w:val="22"/>
          <w:lang w:val="ro-RO"/>
        </w:rPr>
      </w:pPr>
      <w:bookmarkStart w:id="0" w:name="_GoBack"/>
      <w:bookmarkEnd w:id="0"/>
    </w:p>
    <w:p w14:paraId="7EF49E3C" w14:textId="77777777" w:rsidR="003C22BE" w:rsidRPr="00A821E7" w:rsidRDefault="003C22BE" w:rsidP="00FA7281">
      <w:pPr>
        <w:ind w:firstLine="709"/>
        <w:jc w:val="center"/>
        <w:rPr>
          <w:b/>
          <w:color w:val="0D0D0D" w:themeColor="text1" w:themeTint="F2"/>
          <w:sz w:val="22"/>
          <w:szCs w:val="22"/>
          <w:lang w:val="ro-RO"/>
        </w:rPr>
      </w:pPr>
    </w:p>
    <w:p w14:paraId="58EB91E2" w14:textId="4C29F00F" w:rsidR="008052C6" w:rsidRPr="003C22BE" w:rsidRDefault="00FA7281" w:rsidP="003C22BE">
      <w:pPr>
        <w:ind w:firstLine="709"/>
        <w:jc w:val="both"/>
        <w:rPr>
          <w:b/>
          <w:color w:val="0D0D0D" w:themeColor="text1" w:themeTint="F2"/>
          <w:w w:val="90"/>
          <w:lang w:val="ro-RO" w:eastAsia="ro-RO"/>
        </w:rPr>
      </w:pPr>
      <w:r w:rsidRPr="00912A05">
        <w:rPr>
          <w:b/>
          <w:color w:val="0D0D0D" w:themeColor="text1" w:themeTint="F2"/>
          <w:lang w:val="ro-RO" w:eastAsia="ro-RO"/>
        </w:rPr>
        <w:t>*Actele administrative sunt hotărârile de Consiliu local care intră în vigoare şi produc efecte juridice după îndeplinirea condiţiilor prevăzute de art. 129, art. 139 din O.U.G. nr. 57/2019 privind Codul Ad</w:t>
      </w:r>
      <w:r w:rsidRPr="00912A05">
        <w:rPr>
          <w:b/>
          <w:color w:val="0D0D0D" w:themeColor="text1" w:themeTint="F2"/>
          <w:w w:val="90"/>
          <w:lang w:val="ro-RO" w:eastAsia="ro-RO"/>
        </w:rPr>
        <w:t xml:space="preserve">ministrativ </w:t>
      </w:r>
    </w:p>
    <w:sectPr w:rsidR="008052C6" w:rsidRPr="003C22BE" w:rsidSect="00830BC3">
      <w:pgSz w:w="11906" w:h="16838"/>
      <w:pgMar w:top="709" w:right="991"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281"/>
    <w:rsid w:val="003C22BE"/>
    <w:rsid w:val="00556C22"/>
    <w:rsid w:val="00654113"/>
    <w:rsid w:val="00784A4B"/>
    <w:rsid w:val="008052C6"/>
    <w:rsid w:val="009E382B"/>
    <w:rsid w:val="00A3229D"/>
    <w:rsid w:val="00CB4FE3"/>
    <w:rsid w:val="00FA7281"/>
    <w:rsid w:val="00FF7CF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0EE7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281"/>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A7281"/>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281"/>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A728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495</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Statia15</cp:lastModifiedBy>
  <cp:revision>3</cp:revision>
  <cp:lastPrinted>2019-11-08T09:31:00Z</cp:lastPrinted>
  <dcterms:created xsi:type="dcterms:W3CDTF">2019-11-08T07:24:00Z</dcterms:created>
  <dcterms:modified xsi:type="dcterms:W3CDTF">2019-11-11T09:38:00Z</dcterms:modified>
</cp:coreProperties>
</file>