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44"/>
        <w:jc w:val="both"/>
        <w:rPr>
          <w:rFonts w:ascii="Georgia" w:hAnsi="Georgia" w:cs="Arial"/>
          <w:b/>
          <w:b/>
          <w:color w:val="000000"/>
          <w:sz w:val="24"/>
          <w:szCs w:val="24"/>
        </w:rPr>
      </w:pPr>
      <w:r>
        <w:rPr>
          <w:rFonts w:cs="Arial" w:ascii="Georgia" w:hAnsi="Georgia"/>
          <w:b/>
          <w:color w:val="000000"/>
          <w:sz w:val="24"/>
          <w:szCs w:val="24"/>
        </w:rPr>
        <w:t>ANEXA nr. 6</w:t>
      </w:r>
    </w:p>
    <w:p>
      <w:pPr>
        <w:pStyle w:val="Normal"/>
        <w:spacing w:lineRule="auto" w:line="240" w:before="0" w:after="144"/>
        <w:jc w:val="both"/>
        <w:rPr>
          <w:rFonts w:ascii="Georgia" w:hAnsi="Georgia" w:cs="Arial"/>
          <w:b/>
          <w:b/>
          <w:color w:val="000000"/>
          <w:sz w:val="24"/>
          <w:szCs w:val="24"/>
        </w:rPr>
      </w:pPr>
      <w:r>
        <w:rPr>
          <w:rFonts w:cs="Arial" w:ascii="Georgia" w:hAnsi="Georgia"/>
          <w:b/>
          <w:color w:val="000000"/>
          <w:sz w:val="24"/>
          <w:szCs w:val="24"/>
        </w:rPr>
      </w:r>
    </w:p>
    <w:p>
      <w:pPr>
        <w:pStyle w:val="Normal"/>
        <w:spacing w:lineRule="auto" w:line="240" w:before="0" w:after="144"/>
        <w:jc w:val="both"/>
        <w:rPr>
          <w:rFonts w:ascii="Georgia" w:hAnsi="Georgia" w:cs="Arial"/>
          <w:b/>
          <w:b/>
          <w:color w:val="000000"/>
          <w:sz w:val="24"/>
          <w:szCs w:val="24"/>
        </w:rPr>
      </w:pPr>
      <w:r>
        <w:rPr>
          <w:rFonts w:cs="Arial" w:ascii="Georgia" w:hAnsi="Georgia"/>
          <w:b/>
          <w:color w:val="000000"/>
          <w:sz w:val="24"/>
          <w:szCs w:val="24"/>
        </w:rPr>
        <w:t>I. Dosarul de raportare va cuprinde următoarele documente:</w:t>
      </w:r>
    </w:p>
    <w:p>
      <w:pPr>
        <w:pStyle w:val="Normal"/>
        <w:spacing w:lineRule="auto" w:line="240" w:before="0" w:after="144"/>
        <w:jc w:val="both"/>
        <w:rPr>
          <w:rFonts w:ascii="Georgia" w:hAnsi="Georgia" w:cs="Arial"/>
          <w:b/>
          <w:b/>
          <w:color w:val="000000"/>
          <w:sz w:val="6"/>
          <w:szCs w:val="24"/>
        </w:rPr>
      </w:pPr>
      <w:r>
        <w:rPr>
          <w:rFonts w:cs="Arial" w:ascii="Georgia" w:hAnsi="Georgia"/>
          <w:b/>
          <w:color w:val="000000"/>
          <w:sz w:val="6"/>
          <w:szCs w:val="24"/>
        </w:rPr>
      </w:r>
    </w:p>
    <w:p>
      <w:pPr>
        <w:pStyle w:val="Normal"/>
        <w:spacing w:lineRule="auto" w:line="240" w:before="0" w:after="144"/>
        <w:jc w:val="both"/>
        <w:rPr/>
      </w:pPr>
      <w:r>
        <w:rPr>
          <w:rFonts w:cs="Arial" w:ascii="Georgia" w:hAnsi="Georgia"/>
          <w:b/>
          <w:color w:val="000000"/>
          <w:sz w:val="24"/>
          <w:szCs w:val="24"/>
        </w:rPr>
        <w:t>1.1.</w:t>
      </w:r>
      <w:r>
        <w:rPr>
          <w:rFonts w:cs="Arial" w:ascii="Georgia" w:hAnsi="Georgia"/>
          <w:color w:val="000000"/>
          <w:sz w:val="24"/>
          <w:szCs w:val="24"/>
        </w:rPr>
        <w:t xml:space="preserve"> Factura de prestare servicii, emisă de către  ADI/UAT/OS, în temeiul prezentului contract. În rubrica </w:t>
      </w:r>
      <w:r>
        <w:rPr>
          <w:rFonts w:cs="Arial" w:ascii="Georgia" w:hAnsi="Georgia"/>
          <w:i/>
          <w:color w:val="000000"/>
          <w:sz w:val="24"/>
          <w:szCs w:val="24"/>
        </w:rPr>
        <w:t>Descrierea serviciilor prestate</w:t>
      </w:r>
      <w:r>
        <w:rPr>
          <w:rFonts w:cs="Arial" w:ascii="Georgia" w:hAnsi="Georgia"/>
          <w:color w:val="000000"/>
          <w:sz w:val="24"/>
          <w:szCs w:val="24"/>
        </w:rPr>
        <w:t>, se va menționa, în mod obligatoriu, și sintagma „Prestări servicii în baza Contractului pentru acoperirea costurilor pentru</w:t>
      </w:r>
      <w:r>
        <w:rPr>
          <w:rFonts w:cs="Arial" w:ascii="Georgia" w:hAnsi="Georgia"/>
          <w:b/>
          <w:color w:val="000000"/>
          <w:sz w:val="24"/>
          <w:szCs w:val="24"/>
        </w:rPr>
        <w:t xml:space="preserve"> </w:t>
      </w:r>
      <w:r>
        <w:rPr>
          <w:rFonts w:cs="Arial" w:ascii="Georgia" w:hAnsi="Georgia"/>
          <w:color w:val="000000"/>
          <w:sz w:val="24"/>
          <w:szCs w:val="24"/>
        </w:rPr>
        <w:t xml:space="preserve">colectarea și transportul, stocarea temporară, sortarea și după caz, valorificarea, deșeurilor de ambalaje nr. […] din […],  încheiat cu </w:t>
      </w:r>
      <w:r>
        <w:rPr>
          <w:rFonts w:cs="Arial" w:ascii="Georgia" w:hAnsi="Georgia"/>
          <w:color w:val="000000"/>
          <w:sz w:val="24"/>
          <w:szCs w:val="24"/>
        </w:rPr>
        <w:t>OIREP</w:t>
      </w:r>
      <w:r>
        <w:rPr>
          <w:rFonts w:cs="Arial" w:ascii="Georgia" w:hAnsi="Georgia"/>
          <w:color w:val="000000"/>
          <w:sz w:val="24"/>
          <w:szCs w:val="24"/>
        </w:rPr>
        <w:t xml:space="preserve"> CUI RO ........, destinate realizării obiectivelor anuale  în conformitate cu prevederile Anexei nr. 5 din Legea nr. 249/2015, pentru deșeuri de ambalaje de […] (tipul de material), cod […], aferente lunii […]”. Documentul trebuie transmis în original.</w:t>
      </w:r>
    </w:p>
    <w:p>
      <w:pPr>
        <w:pStyle w:val="Normal"/>
        <w:spacing w:lineRule="auto" w:line="240" w:before="0" w:after="144"/>
        <w:jc w:val="both"/>
        <w:rPr>
          <w:rFonts w:ascii="Georgia" w:hAnsi="Georgia" w:cs="Arial"/>
          <w:b/>
          <w:b/>
          <w:color w:val="000000"/>
          <w:sz w:val="6"/>
          <w:szCs w:val="24"/>
        </w:rPr>
      </w:pPr>
      <w:r>
        <w:rPr>
          <w:rFonts w:cs="Arial" w:ascii="Georgia" w:hAnsi="Georgia"/>
          <w:b/>
          <w:color w:val="000000"/>
          <w:sz w:val="6"/>
          <w:szCs w:val="24"/>
        </w:rPr>
      </w:r>
    </w:p>
    <w:p>
      <w:pPr>
        <w:pStyle w:val="Normal"/>
        <w:spacing w:lineRule="auto" w:line="240" w:before="0" w:after="144"/>
        <w:jc w:val="both"/>
        <w:rPr>
          <w:rFonts w:ascii="Georgia" w:hAnsi="Georgia" w:cs="Arial"/>
          <w:color w:val="000000"/>
          <w:sz w:val="24"/>
          <w:szCs w:val="24"/>
        </w:rPr>
      </w:pPr>
      <w:r>
        <w:rPr>
          <w:rFonts w:cs="Arial" w:ascii="Georgia" w:hAnsi="Georgia"/>
          <w:b/>
          <w:color w:val="000000"/>
          <w:sz w:val="24"/>
          <w:szCs w:val="24"/>
        </w:rPr>
        <w:t>1.2.</w:t>
      </w:r>
      <w:r>
        <w:rPr>
          <w:rFonts w:cs="Arial" w:ascii="Georgia" w:hAnsi="Georgia"/>
          <w:color w:val="000000"/>
          <w:sz w:val="24"/>
          <w:szCs w:val="24"/>
        </w:rPr>
        <w:t xml:space="preserve"> Documente justificative in baza cărora OS a preluat cantităţile de deşeuri municipale (contract încheiat cu UAT/ADI)</w:t>
      </w:r>
    </w:p>
    <w:p>
      <w:pPr>
        <w:pStyle w:val="Normal"/>
        <w:spacing w:lineRule="auto" w:line="240" w:before="0" w:after="144"/>
        <w:jc w:val="both"/>
        <w:rPr>
          <w:rFonts w:ascii="Georgia" w:hAnsi="Georgia" w:cs="Arial"/>
          <w:color w:val="000000"/>
          <w:sz w:val="6"/>
          <w:szCs w:val="24"/>
        </w:rPr>
      </w:pPr>
      <w:r>
        <w:rPr>
          <w:rFonts w:cs="Arial" w:ascii="Georgia" w:hAnsi="Georgia"/>
          <w:color w:val="000000"/>
          <w:sz w:val="6"/>
          <w:szCs w:val="24"/>
        </w:rPr>
      </w:r>
    </w:p>
    <w:p>
      <w:pPr>
        <w:pStyle w:val="Normal"/>
        <w:spacing w:lineRule="auto" w:line="240" w:before="0" w:after="144"/>
        <w:jc w:val="both"/>
        <w:rPr/>
      </w:pPr>
      <w:r>
        <w:rPr>
          <w:rFonts w:cs="Arial" w:ascii="Georgia" w:hAnsi="Georgia"/>
          <w:b/>
          <w:color w:val="000000"/>
          <w:sz w:val="24"/>
          <w:szCs w:val="24"/>
        </w:rPr>
        <w:t>1.3.</w:t>
      </w:r>
      <w:r>
        <w:rPr>
          <w:rFonts w:cs="Arial" w:ascii="Georgia" w:hAnsi="Georgia"/>
          <w:color w:val="000000"/>
          <w:sz w:val="24"/>
          <w:szCs w:val="24"/>
        </w:rPr>
        <w:t xml:space="preserve"> Borderou de colectare în baza căruia OS a înregistrat în gestiunea proprie cantităţile de deşeuri încredinţate către </w:t>
      </w:r>
      <w:r>
        <w:rPr>
          <w:rFonts w:cs="Arial" w:ascii="Georgia" w:hAnsi="Georgia"/>
          <w:color w:val="000000"/>
          <w:sz w:val="24"/>
          <w:szCs w:val="24"/>
        </w:rPr>
        <w:t>OIREP</w:t>
      </w:r>
      <w:r>
        <w:rPr>
          <w:rFonts w:cs="Arial" w:ascii="Georgia" w:hAnsi="Georgia"/>
          <w:color w:val="000000"/>
          <w:sz w:val="24"/>
          <w:szCs w:val="24"/>
        </w:rPr>
        <w:t xml:space="preserve"> SA în scopul valorificării, conţinând cel puţin următoarele informaţii: zi, date de identificare generator (zonă de colectare/denumire şi CUI asociaţie locatari etc.), cantitate recepţionată, serie şi număr Notă de intrare în recepţie</w:t>
      </w:r>
    </w:p>
    <w:p>
      <w:pPr>
        <w:pStyle w:val="Normal"/>
        <w:spacing w:lineRule="auto" w:line="240" w:before="0" w:after="144"/>
        <w:jc w:val="both"/>
        <w:rPr>
          <w:rFonts w:ascii="Georgia" w:hAnsi="Georgia" w:cs="Arial"/>
          <w:color w:val="000000"/>
          <w:sz w:val="6"/>
          <w:szCs w:val="24"/>
        </w:rPr>
      </w:pPr>
      <w:r>
        <w:rPr>
          <w:rFonts w:cs="Arial" w:ascii="Georgia" w:hAnsi="Georgia"/>
          <w:color w:val="000000"/>
          <w:sz w:val="6"/>
          <w:szCs w:val="24"/>
        </w:rPr>
      </w:r>
    </w:p>
    <w:p>
      <w:pPr>
        <w:pStyle w:val="Normal"/>
        <w:spacing w:lineRule="auto" w:line="240" w:before="0" w:after="144"/>
        <w:jc w:val="both"/>
        <w:rPr/>
      </w:pPr>
      <w:r>
        <w:rPr>
          <w:rFonts w:cs="Arial" w:ascii="Georgia" w:hAnsi="Georgia"/>
          <w:b/>
          <w:color w:val="000000"/>
          <w:sz w:val="24"/>
          <w:szCs w:val="24"/>
        </w:rPr>
        <w:t xml:space="preserve">1.4. </w:t>
      </w:r>
      <w:r>
        <w:rPr>
          <w:rFonts w:cs="Arial" w:ascii="Georgia" w:hAnsi="Georgia"/>
          <w:color w:val="000000"/>
          <w:sz w:val="24"/>
          <w:szCs w:val="24"/>
        </w:rPr>
        <w:t xml:space="preserve">Copii în format „conform cu originalul” ale documentelor de recepţie (tichet de cântar/notă de cântar) pentru cantităţile de deşeuri municipale intrate în gestiunea OS spre sortare aferente cantităţilor de deşeuri de ambalaje gestionate/încredinţate către </w:t>
      </w:r>
      <w:r>
        <w:rPr>
          <w:rFonts w:cs="Arial" w:ascii="Georgia" w:hAnsi="Georgia"/>
          <w:color w:val="000000"/>
          <w:sz w:val="24"/>
          <w:szCs w:val="24"/>
        </w:rPr>
        <w:t>OIREP</w:t>
      </w:r>
      <w:r>
        <w:rPr>
          <w:rFonts w:cs="Arial" w:ascii="Georgia" w:hAnsi="Georgia"/>
          <w:color w:val="000000"/>
          <w:sz w:val="24"/>
          <w:szCs w:val="24"/>
        </w:rPr>
        <w:t xml:space="preserve"> în scopul valorificării.</w:t>
      </w:r>
    </w:p>
    <w:p>
      <w:pPr>
        <w:pStyle w:val="Normal"/>
        <w:spacing w:lineRule="auto" w:line="240" w:before="0" w:after="144"/>
        <w:jc w:val="both"/>
        <w:rPr>
          <w:rFonts w:ascii="Georgia" w:hAnsi="Georgia" w:cs="Arial"/>
          <w:color w:val="000000"/>
          <w:sz w:val="6"/>
          <w:szCs w:val="24"/>
        </w:rPr>
      </w:pPr>
      <w:r>
        <w:rPr>
          <w:rFonts w:cs="Arial" w:ascii="Georgia" w:hAnsi="Georgia"/>
          <w:color w:val="000000"/>
          <w:sz w:val="6"/>
          <w:szCs w:val="24"/>
        </w:rPr>
      </w:r>
    </w:p>
    <w:p>
      <w:pPr>
        <w:pStyle w:val="Normal"/>
        <w:spacing w:lineRule="auto" w:line="240" w:before="0" w:after="144"/>
        <w:jc w:val="both"/>
        <w:rPr/>
      </w:pPr>
      <w:r>
        <w:rPr>
          <w:rFonts w:cs="Arial" w:ascii="Georgia" w:hAnsi="Georgia"/>
          <w:b/>
          <w:color w:val="000000"/>
          <w:sz w:val="24"/>
          <w:szCs w:val="24"/>
        </w:rPr>
        <w:t>1.5.</w:t>
      </w:r>
      <w:r>
        <w:rPr>
          <w:rFonts w:cs="Arial" w:ascii="Georgia" w:hAnsi="Georgia"/>
          <w:color w:val="000000"/>
          <w:sz w:val="24"/>
          <w:szCs w:val="24"/>
        </w:rPr>
        <w:t xml:space="preserve"> Anexa 2B - Raportul de procesare/sortare emis de stația de procesare/transfer/sortare pentru luna aferentă trasabilității, cu mențiunea „Prestări servicii în baza Contractului pentru acoperirea costurilor pentru colectarea și transportul, stocarea temporară, sortarea și după caz, valorificarea, deșeurilor de ambalaje nr. […] din […],  încheiat cu </w:t>
      </w:r>
      <w:r>
        <w:rPr>
          <w:rFonts w:cs="Arial" w:ascii="Georgia" w:hAnsi="Georgia"/>
          <w:color w:val="000000"/>
          <w:sz w:val="24"/>
          <w:szCs w:val="24"/>
        </w:rPr>
        <w:t>OIREP</w:t>
      </w:r>
      <w:r>
        <w:rPr>
          <w:rFonts w:cs="Arial" w:ascii="Georgia" w:hAnsi="Georgia"/>
          <w:color w:val="000000"/>
          <w:sz w:val="24"/>
          <w:szCs w:val="24"/>
        </w:rPr>
        <w:t xml:space="preserve"> CUI RO ...., destinate realizării obiectivelor anuale în conformitate cu prevederile Anexei nr. 5 din Legea nr. 249/2015, pentru deșeuri de ambalaje de […] (tipul de material), cod […], cantitate [...] aferente lunii […]”. În situația în care există mai multe mai multe secții de lucru, este obligatorie atașarea la Dosar a documentelor care fac dovada transferul cantităților în contul </w:t>
      </w:r>
      <w:r>
        <w:rPr>
          <w:rFonts w:cs="Arial" w:ascii="Georgia" w:hAnsi="Georgia"/>
          <w:color w:val="000000"/>
          <w:sz w:val="24"/>
          <w:szCs w:val="24"/>
        </w:rPr>
        <w:t>OIREP</w:t>
      </w:r>
      <w:r>
        <w:rPr>
          <w:rFonts w:cs="Arial" w:ascii="Georgia" w:hAnsi="Georgia"/>
          <w:color w:val="000000"/>
          <w:sz w:val="24"/>
          <w:szCs w:val="24"/>
        </w:rPr>
        <w:t xml:space="preserve">: Bonuri de consum/Bonuri de transfer/Procese verbale de transfer/Tichete de transfer dintr-o secție în alta, fiind obligatoriu ca toate documentele respective să conțină mențiunea „Prestări servicii în baza Contractului pentru acoperirea costurilor pentru colectarea și transportul, stocarea temporară, sortarea și după caz, valorificarea, deșeurilor de ambalaje nr. […] din […],  încheiat cu </w:t>
      </w:r>
      <w:r>
        <w:rPr>
          <w:rFonts w:cs="Arial" w:ascii="Georgia" w:hAnsi="Georgia"/>
          <w:color w:val="000000"/>
          <w:sz w:val="24"/>
          <w:szCs w:val="24"/>
        </w:rPr>
        <w:t>OIREP</w:t>
      </w:r>
      <w:r>
        <w:rPr>
          <w:rFonts w:cs="Arial" w:ascii="Georgia" w:hAnsi="Georgia"/>
          <w:color w:val="000000"/>
          <w:sz w:val="24"/>
          <w:szCs w:val="24"/>
        </w:rPr>
        <w:t xml:space="preserve"> SA, CUI RO ....., destinate realizării obiectivelor anuale  în conformitate cu prevederile Anexei nr. 5 din Legea nr. 249/2015, pentru deșeuri de ambalaje de […] (tipul de material), cod […], cantitate [...], aferente lunii […]”;</w:t>
      </w:r>
    </w:p>
    <w:p>
      <w:pPr>
        <w:pStyle w:val="Normal"/>
        <w:spacing w:lineRule="auto" w:line="240" w:before="0" w:after="144"/>
        <w:jc w:val="both"/>
        <w:rPr>
          <w:rFonts w:ascii="Georgia" w:hAnsi="Georgia" w:cs="Arial"/>
          <w:color w:val="000000"/>
          <w:sz w:val="24"/>
          <w:szCs w:val="24"/>
        </w:rPr>
      </w:pPr>
      <w:r>
        <w:rPr>
          <w:rFonts w:cs="Arial" w:ascii="Georgia" w:hAnsi="Georgia"/>
          <w:b/>
          <w:color w:val="000000"/>
          <w:sz w:val="24"/>
          <w:szCs w:val="24"/>
        </w:rPr>
        <w:t>1.6.</w:t>
      </w:r>
      <w:r>
        <w:rPr>
          <w:rFonts w:cs="Arial" w:ascii="Georgia" w:hAnsi="Georgia"/>
          <w:color w:val="000000"/>
          <w:sz w:val="24"/>
          <w:szCs w:val="24"/>
        </w:rPr>
        <w:t xml:space="preserve"> Anexa 2C – Borderou achizitii populatie (daca este cazul, pentru cantitatile raportate in contul Prestatorului de catre operatorii economici autorizati pentru colectarea deseurilor de ambalaje de la persoane fizice)</w:t>
      </w:r>
    </w:p>
    <w:p>
      <w:pPr>
        <w:pStyle w:val="Normal"/>
        <w:spacing w:lineRule="auto" w:line="240" w:before="0" w:after="144"/>
        <w:jc w:val="both"/>
        <w:rPr>
          <w:rFonts w:ascii="Georgia" w:hAnsi="Georgia" w:cs="Arial"/>
          <w:color w:val="000000"/>
          <w:sz w:val="6"/>
          <w:szCs w:val="24"/>
        </w:rPr>
      </w:pPr>
      <w:r>
        <w:rPr>
          <w:rFonts w:cs="Arial" w:ascii="Georgia" w:hAnsi="Georgia"/>
          <w:color w:val="000000"/>
          <w:sz w:val="6"/>
          <w:szCs w:val="24"/>
        </w:rPr>
      </w:r>
    </w:p>
    <w:p>
      <w:pPr>
        <w:pStyle w:val="Normal"/>
        <w:spacing w:lineRule="auto" w:line="240" w:before="0" w:after="144"/>
        <w:jc w:val="both"/>
        <w:rPr>
          <w:rFonts w:ascii="Georgia" w:hAnsi="Georgia" w:cs="Arial"/>
          <w:color w:val="000000"/>
          <w:sz w:val="24"/>
          <w:szCs w:val="24"/>
        </w:rPr>
      </w:pPr>
      <w:r>
        <w:rPr>
          <w:rFonts w:cs="Arial" w:ascii="Georgia" w:hAnsi="Georgia"/>
          <w:b/>
          <w:color w:val="000000"/>
          <w:sz w:val="24"/>
          <w:szCs w:val="24"/>
        </w:rPr>
        <w:t xml:space="preserve">1.7. </w:t>
      </w:r>
      <w:r>
        <w:rPr>
          <w:rFonts w:cs="Arial" w:ascii="Georgia" w:hAnsi="Georgia"/>
          <w:color w:val="000000"/>
          <w:sz w:val="24"/>
          <w:szCs w:val="24"/>
        </w:rPr>
        <w:t>Anexa 4A si Anexa 4B – Raport validat lunar</w:t>
      </w:r>
    </w:p>
    <w:p>
      <w:pPr>
        <w:pStyle w:val="Normal"/>
        <w:spacing w:lineRule="auto" w:line="240" w:before="0" w:after="144"/>
        <w:jc w:val="both"/>
        <w:rPr>
          <w:rFonts w:ascii="Georgia" w:hAnsi="Georgia" w:cs="Arial"/>
          <w:color w:val="000000"/>
          <w:sz w:val="6"/>
          <w:szCs w:val="24"/>
        </w:rPr>
      </w:pPr>
      <w:r>
        <w:rPr>
          <w:rFonts w:cs="Arial" w:ascii="Georgia" w:hAnsi="Georgia"/>
          <w:color w:val="000000"/>
          <w:sz w:val="6"/>
          <w:szCs w:val="24"/>
        </w:rPr>
      </w:r>
    </w:p>
    <w:p>
      <w:pPr>
        <w:pStyle w:val="Normal"/>
        <w:spacing w:lineRule="auto" w:line="240" w:before="0" w:after="144"/>
        <w:jc w:val="both"/>
        <w:rPr>
          <w:rFonts w:ascii="Georgia" w:hAnsi="Georgia" w:cs="Arial"/>
          <w:color w:val="000000"/>
          <w:sz w:val="24"/>
          <w:szCs w:val="24"/>
        </w:rPr>
      </w:pPr>
      <w:r>
        <w:rPr>
          <w:rFonts w:cs="Arial" w:ascii="Georgia" w:hAnsi="Georgia"/>
          <w:b/>
          <w:color w:val="000000"/>
          <w:sz w:val="24"/>
          <w:szCs w:val="24"/>
        </w:rPr>
        <w:t xml:space="preserve">1.8. </w:t>
      </w:r>
      <w:r>
        <w:rPr>
          <w:rFonts w:cs="Arial" w:ascii="Georgia" w:hAnsi="Georgia"/>
          <w:color w:val="000000"/>
          <w:sz w:val="24"/>
          <w:szCs w:val="24"/>
        </w:rPr>
        <w:t>Anexa 2A – Borderou de livrare</w:t>
      </w:r>
    </w:p>
    <w:p>
      <w:pPr>
        <w:pStyle w:val="Normal"/>
        <w:spacing w:lineRule="auto" w:line="240" w:before="0" w:after="144"/>
        <w:jc w:val="both"/>
        <w:rPr>
          <w:rFonts w:ascii="Georgia" w:hAnsi="Georgia" w:cs="Arial"/>
          <w:color w:val="000000"/>
          <w:sz w:val="6"/>
          <w:szCs w:val="24"/>
        </w:rPr>
      </w:pPr>
      <w:r>
        <w:rPr>
          <w:rFonts w:cs="Arial" w:ascii="Georgia" w:hAnsi="Georgia"/>
          <w:color w:val="000000"/>
          <w:sz w:val="6"/>
          <w:szCs w:val="24"/>
        </w:rPr>
      </w:r>
    </w:p>
    <w:p>
      <w:pPr>
        <w:pStyle w:val="Normal"/>
        <w:spacing w:lineRule="auto" w:line="240" w:before="0" w:after="144"/>
        <w:jc w:val="both"/>
        <w:rPr>
          <w:rFonts w:ascii="Georgia" w:hAnsi="Georgia" w:cs="Arial"/>
          <w:color w:val="000000"/>
          <w:sz w:val="24"/>
          <w:szCs w:val="24"/>
        </w:rPr>
      </w:pPr>
      <w:r>
        <w:rPr>
          <w:rFonts w:cs="Arial" w:ascii="Georgia" w:hAnsi="Georgia"/>
          <w:b/>
          <w:color w:val="000000"/>
          <w:sz w:val="24"/>
          <w:szCs w:val="24"/>
        </w:rPr>
        <w:t xml:space="preserve">1.9. </w:t>
      </w:r>
      <w:r>
        <w:rPr>
          <w:rFonts w:eastAsia="MS Mincho" w:cs="Times New Roman" w:ascii="Times New Roman" w:hAnsi="Times New Roman"/>
          <w:b/>
          <w:i/>
          <w:sz w:val="24"/>
          <w:szCs w:val="24"/>
        </w:rPr>
        <w:t>Pentru tranzactiile desfasurate pe teritoriul Romaniei</w:t>
      </w:r>
      <w:r>
        <w:rPr>
          <w:rFonts w:eastAsia="MS Mincho" w:cs="Times New Roman" w:ascii="Times New Roman" w:hAnsi="Times New Roman"/>
          <w:i/>
          <w:sz w:val="24"/>
          <w:szCs w:val="24"/>
        </w:rPr>
        <w:t xml:space="preserve">, documentele de trasabilitate sunt: </w:t>
      </w:r>
    </w:p>
    <w:p>
      <w:pPr>
        <w:pStyle w:val="Normal"/>
        <w:numPr>
          <w:ilvl w:val="0"/>
          <w:numId w:val="1"/>
        </w:numPr>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Factura de vanzare-cumparare deseuri de ambalaje cu textul de lege mentionat pe document (se transmite in copie conform cu originalul, semnatura si stampila);</w:t>
      </w:r>
    </w:p>
    <w:p>
      <w:pPr>
        <w:pStyle w:val="Normal"/>
        <w:numPr>
          <w:ilvl w:val="0"/>
          <w:numId w:val="1"/>
        </w:numPr>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Aviz de insotire a marfii cu textul de lege mentionat pe document (se transmite in copie conform cu originalul, semnatura si stampila)</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it-IT"/>
        </w:rPr>
        <w:t>Documente de transport:</w:t>
      </w:r>
    </w:p>
    <w:p>
      <w:pPr>
        <w:pStyle w:val="Normal"/>
        <w:spacing w:lineRule="auto" w:line="240" w:before="0" w:after="0"/>
        <w:ind w:left="372" w:firstLine="708"/>
        <w:rPr>
          <w:rFonts w:ascii="Times New Roman" w:hAnsi="Times New Roman" w:eastAsia="Times New Roman" w:cs="Times New Roman"/>
          <w:color w:val="000000"/>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color w:val="000000"/>
          <w:sz w:val="24"/>
          <w:szCs w:val="24"/>
          <w:lang w:eastAsia="it-IT"/>
        </w:rPr>
        <w:t>Formularul de incarcare-descarcare Anexa 3 la HG 1061/2008 cu textul de lege mentionat pe document (se transmite in copie conform cu originalul, semnatura si stampila)</w:t>
      </w:r>
    </w:p>
    <w:p>
      <w:pPr>
        <w:pStyle w:val="Normal"/>
        <w:numPr>
          <w:ilvl w:val="0"/>
          <w:numId w:val="1"/>
        </w:numPr>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Document receptie: </w:t>
      </w:r>
    </w:p>
    <w:p>
      <w:pPr>
        <w:pStyle w:val="Normal"/>
        <w:spacing w:lineRule="auto" w:line="240" w:before="0" w:after="0"/>
        <w:ind w:left="1080" w:hanging="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nota de cantar, confirmare, tichet de cantar, bon de cantar si/sau PV de receptie, emise de cumparatorul cantitatilor de deseuri de ambalaje (se transmite in copie conform cu originalul, semnatura si stampila)</w:t>
      </w:r>
    </w:p>
    <w:p>
      <w:pPr>
        <w:pStyle w:val="Normal"/>
        <w:spacing w:lineRule="auto" w:line="240" w:before="0" w:after="144"/>
        <w:jc w:val="both"/>
        <w:rPr>
          <w:rFonts w:ascii="Georgia" w:hAnsi="Georgia" w:cs="Arial"/>
          <w:color w:val="000000"/>
          <w:sz w:val="10"/>
          <w:szCs w:val="24"/>
        </w:rPr>
      </w:pPr>
      <w:r>
        <w:rPr>
          <w:rFonts w:cs="Arial" w:ascii="Georgia" w:hAnsi="Georgia"/>
          <w:color w:val="000000"/>
          <w:sz w:val="10"/>
          <w:szCs w:val="24"/>
        </w:rPr>
      </w:r>
    </w:p>
    <w:p>
      <w:pPr>
        <w:pStyle w:val="Normal"/>
        <w:spacing w:lineRule="auto" w:line="240" w:before="0" w:after="0"/>
        <w:rPr>
          <w:rFonts w:ascii="Times New Roman" w:hAnsi="Times New Roman" w:eastAsia="Times New Roman" w:cs="Times New Roman"/>
          <w:i/>
          <w:i/>
          <w:sz w:val="24"/>
          <w:szCs w:val="24"/>
          <w:lang w:eastAsia="it-IT"/>
        </w:rPr>
      </w:pPr>
      <w:r>
        <w:rPr>
          <w:rFonts w:cs="Arial" w:ascii="Georgia" w:hAnsi="Georgia"/>
          <w:b/>
          <w:color w:val="000000"/>
          <w:sz w:val="24"/>
          <w:szCs w:val="24"/>
        </w:rPr>
        <w:t xml:space="preserve">1.10. </w:t>
      </w:r>
      <w:r>
        <w:rPr>
          <w:rFonts w:eastAsia="Times New Roman" w:cs="Times New Roman" w:ascii="Times New Roman" w:hAnsi="Times New Roman"/>
          <w:b/>
          <w:i/>
          <w:sz w:val="24"/>
          <w:szCs w:val="24"/>
          <w:lang w:eastAsia="it-IT"/>
        </w:rPr>
        <w:t>Pentru exportul de deseuri in afara teritoriului national</w:t>
      </w:r>
      <w:r>
        <w:rPr>
          <w:rFonts w:eastAsia="Times New Roman" w:cs="Times New Roman" w:ascii="Times New Roman" w:hAnsi="Times New Roman"/>
          <w:i/>
          <w:sz w:val="24"/>
          <w:szCs w:val="24"/>
          <w:lang w:eastAsia="it-IT"/>
        </w:rPr>
        <w:t xml:space="preserve"> catre reciclatorul final, la documentele de trasabilitate de la punctul 2.2.i. se adauga urmatoarele:</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color w:val="000000"/>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color w:val="000000"/>
          <w:sz w:val="24"/>
          <w:szCs w:val="24"/>
          <w:lang w:eastAsia="it-IT"/>
        </w:rPr>
        <w:t>Anexa nr. VII la Regulamentul (CE) nr. 1.013/2006 al Parlamentului European şi al Consiliului cu textul de lege mentionat pe document (se transmite in copie conform cu originalul, semnatura si stampila)</w:t>
      </w:r>
    </w:p>
    <w:p>
      <w:pPr>
        <w:pStyle w:val="Normal"/>
        <w:spacing w:lineRule="auto" w:line="240" w:before="0" w:after="0"/>
        <w:rPr>
          <w:rFonts w:ascii="Times New Roman" w:hAnsi="Times New Roman" w:eastAsia="Times New Roman" w:cs="Times New Roman"/>
          <w:color w:val="000000"/>
          <w:sz w:val="24"/>
          <w:szCs w:val="24"/>
          <w:lang w:eastAsia="it-IT"/>
        </w:rPr>
      </w:pPr>
      <w:r>
        <w:rPr>
          <w:rFonts w:eastAsia="Times New Roman" w:cs="Times New Roman" w:ascii="Times New Roman" w:hAnsi="Times New Roman"/>
          <w:color w:val="000000"/>
          <w:sz w:val="24"/>
          <w:szCs w:val="24"/>
          <w:lang w:eastAsia="it-IT"/>
        </w:rPr>
        <w:t>- CMR (se transmite in copie conform cu originalul, semnatura si stampila)</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Documentul care atesta ca reciclarea s-a facut în condiţii prevăzute prin legislaţia comunitară în domeniu (certificat de reciclare/raport de reciclare efectiva a marfii etc.), pentru livrarile inafara Uniunii Europene</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Documentul care atestă calitatea de reciclator a destinatarului final– se transmit in copie conform cu originalul, semnatura si stampila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Alte documente care pot demonstra trasabilitatea deseurilor de ambalaje pana la reciclatorul final, dupa caz</w:t>
      </w:r>
    </w:p>
    <w:p>
      <w:pPr>
        <w:pStyle w:val="Normal"/>
        <w:spacing w:lineRule="auto" w:line="240" w:before="0" w:after="144"/>
        <w:jc w:val="both"/>
        <w:rPr>
          <w:rFonts w:ascii="Georgia" w:hAnsi="Georgia" w:cs="Arial"/>
          <w:b/>
          <w:b/>
          <w:color w:val="000000"/>
          <w:sz w:val="24"/>
          <w:szCs w:val="24"/>
        </w:rPr>
      </w:pPr>
      <w:r>
        <w:rPr>
          <w:rFonts w:cs="Arial" w:ascii="Georgia" w:hAnsi="Georgia"/>
          <w:b/>
          <w:color w:val="000000"/>
          <w:sz w:val="24"/>
          <w:szCs w:val="24"/>
        </w:rPr>
      </w:r>
    </w:p>
    <w:p>
      <w:pPr>
        <w:pStyle w:val="Normal"/>
        <w:spacing w:lineRule="auto" w:line="276" w:before="0" w:after="144"/>
        <w:jc w:val="center"/>
        <w:rPr>
          <w:rFonts w:ascii="Georgia" w:hAnsi="Georgia" w:cs="Arial"/>
          <w:b/>
          <w:b/>
          <w:color w:val="000000"/>
          <w:sz w:val="24"/>
          <w:szCs w:val="24"/>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sdt>
    <w:sdtPr>
      <w:docPartObj>
        <w:docPartGallery w:val="Page Numbers (Bottom of Page)"/>
        <w:docPartUnique w:val="true"/>
      </w:docPartObj>
      <w:id w:val="396316715"/>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4222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5447c"/>
    <w:rPr>
      <w:color w:val="0563C1" w:themeColor="hyperlink"/>
      <w:u w:val="single"/>
    </w:rPr>
  </w:style>
  <w:style w:type="character" w:styleId="Annotationreference">
    <w:name w:val="annotation reference"/>
    <w:basedOn w:val="DefaultParagraphFont"/>
    <w:uiPriority w:val="99"/>
    <w:semiHidden/>
    <w:unhideWhenUsed/>
    <w:qFormat/>
    <w:rsid w:val="0055447c"/>
    <w:rPr>
      <w:sz w:val="16"/>
      <w:szCs w:val="16"/>
    </w:rPr>
  </w:style>
  <w:style w:type="character" w:styleId="CommentTextChar" w:customStyle="1">
    <w:name w:val="Comment Text Char"/>
    <w:basedOn w:val="DefaultParagraphFont"/>
    <w:link w:val="CommentText"/>
    <w:uiPriority w:val="99"/>
    <w:semiHidden/>
    <w:qFormat/>
    <w:rsid w:val="0055447c"/>
    <w:rPr>
      <w:sz w:val="20"/>
      <w:szCs w:val="20"/>
      <w:lang w:val="ro-RO"/>
    </w:rPr>
  </w:style>
  <w:style w:type="character" w:styleId="CommentSubjectChar" w:customStyle="1">
    <w:name w:val="Comment Subject Char"/>
    <w:basedOn w:val="CommentTextChar"/>
    <w:link w:val="CommentSubject"/>
    <w:uiPriority w:val="99"/>
    <w:semiHidden/>
    <w:qFormat/>
    <w:rsid w:val="0055447c"/>
    <w:rPr>
      <w:b/>
      <w:bCs/>
      <w:sz w:val="20"/>
      <w:szCs w:val="20"/>
      <w:lang w:val="ro-RO"/>
    </w:rPr>
  </w:style>
  <w:style w:type="character" w:styleId="BalloonTextChar" w:customStyle="1">
    <w:name w:val="Balloon Text Char"/>
    <w:basedOn w:val="DefaultParagraphFont"/>
    <w:link w:val="BalloonText"/>
    <w:uiPriority w:val="99"/>
    <w:semiHidden/>
    <w:qFormat/>
    <w:rsid w:val="0055447c"/>
    <w:rPr>
      <w:rFonts w:ascii="Segoe UI" w:hAnsi="Segoe UI" w:cs="Segoe UI"/>
      <w:sz w:val="18"/>
      <w:szCs w:val="18"/>
      <w:lang w:val="ro-RO"/>
    </w:rPr>
  </w:style>
  <w:style w:type="character" w:styleId="HeaderChar" w:customStyle="1">
    <w:name w:val="Header Char"/>
    <w:basedOn w:val="DefaultParagraphFont"/>
    <w:link w:val="Header"/>
    <w:uiPriority w:val="99"/>
    <w:qFormat/>
    <w:rsid w:val="00c66388"/>
    <w:rPr>
      <w:lang w:val="ro-RO"/>
    </w:rPr>
  </w:style>
  <w:style w:type="character" w:styleId="FooterChar" w:customStyle="1">
    <w:name w:val="Footer Char"/>
    <w:basedOn w:val="DefaultParagraphFont"/>
    <w:link w:val="Footer"/>
    <w:uiPriority w:val="99"/>
    <w:qFormat/>
    <w:rsid w:val="00c66388"/>
    <w:rPr>
      <w:lang w:val="ro-RO"/>
    </w:rPr>
  </w:style>
  <w:style w:type="character" w:styleId="FootnoteTextChar" w:customStyle="1">
    <w:name w:val="Footnote Text Char"/>
    <w:basedOn w:val="DefaultParagraphFont"/>
    <w:link w:val="FootnoteText"/>
    <w:uiPriority w:val="99"/>
    <w:semiHidden/>
    <w:qFormat/>
    <w:rsid w:val="00210528"/>
    <w:rPr>
      <w:sz w:val="20"/>
      <w:szCs w:val="20"/>
      <w:lang w:val="ro-RO"/>
    </w:rPr>
  </w:style>
  <w:style w:type="character" w:styleId="FootnoteCharacters">
    <w:name w:val="Footnote Characters"/>
    <w:basedOn w:val="DefaultParagraphFont"/>
    <w:uiPriority w:val="99"/>
    <w:semiHidden/>
    <w:unhideWhenUsed/>
    <w:qFormat/>
    <w:rsid w:val="00210528"/>
    <w:rPr>
      <w:vertAlign w:val="superscript"/>
    </w:rPr>
  </w:style>
  <w:style w:type="character" w:styleId="FootnoteAnchor">
    <w:name w:val="Footnote Anchor"/>
    <w:rPr>
      <w:vertAlign w:val="superscript"/>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b6557"/>
    <w:pPr>
      <w:spacing w:before="0" w:after="160"/>
      <w:ind w:left="720" w:hanging="0"/>
      <w:contextualSpacing/>
    </w:pPr>
    <w:rPr/>
  </w:style>
  <w:style w:type="paragraph" w:styleId="Default" w:customStyle="1">
    <w:name w:val="Default"/>
    <w:qFormat/>
    <w:rsid w:val="007f5f9f"/>
    <w:pPr>
      <w:widowControl/>
      <w:bidi w:val="0"/>
      <w:spacing w:lineRule="auto" w:line="240" w:before="0" w:after="0"/>
      <w:jc w:val="left"/>
    </w:pPr>
    <w:rPr>
      <w:rFonts w:ascii="Arial" w:hAnsi="Arial" w:eastAsia="Calibri" w:cs="Arial"/>
      <w:color w:val="000000"/>
      <w:kern w:val="0"/>
      <w:sz w:val="24"/>
      <w:szCs w:val="24"/>
      <w:lang w:val="ro-RO" w:eastAsia="en-US" w:bidi="ar-SA"/>
    </w:rPr>
  </w:style>
  <w:style w:type="paragraph" w:styleId="Annotationtext">
    <w:name w:val="annotation text"/>
    <w:basedOn w:val="Normal"/>
    <w:link w:val="CommentTextChar"/>
    <w:uiPriority w:val="99"/>
    <w:semiHidden/>
    <w:unhideWhenUsed/>
    <w:qFormat/>
    <w:rsid w:val="0055447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5447c"/>
    <w:pPr/>
    <w:rPr>
      <w:b/>
      <w:bCs/>
    </w:rPr>
  </w:style>
  <w:style w:type="paragraph" w:styleId="BalloonText">
    <w:name w:val="Balloon Text"/>
    <w:basedOn w:val="Normal"/>
    <w:link w:val="BalloonTextChar"/>
    <w:uiPriority w:val="99"/>
    <w:semiHidden/>
    <w:unhideWhenUsed/>
    <w:qFormat/>
    <w:rsid w:val="0055447c"/>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c6638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66388"/>
    <w:pPr>
      <w:tabs>
        <w:tab w:val="clear" w:pos="720"/>
        <w:tab w:val="center" w:pos="4680" w:leader="none"/>
        <w:tab w:val="right" w:pos="9360" w:leader="none"/>
      </w:tabs>
      <w:spacing w:lineRule="auto" w:line="240" w:before="0" w:after="0"/>
    </w:pPr>
    <w:rPr/>
  </w:style>
  <w:style w:type="paragraph" w:styleId="Footnote">
    <w:name w:val="Footnote Text"/>
    <w:basedOn w:val="Normal"/>
    <w:link w:val="FootnoteTextChar"/>
    <w:uiPriority w:val="99"/>
    <w:semiHidden/>
    <w:unhideWhenUsed/>
    <w:rsid w:val="00210528"/>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705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32f9f"/>
    <w:pPr>
      <w:spacing w:after="0" w:line="240" w:lineRule="auto"/>
      <w:jc w:val="both"/>
    </w:pPr>
    <w:rPr>
      <w:lang w:val="ro-RO"/>
      <w:color w:val="000000" w:themeColor="text1"/>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TableNormal"/>
    <w:uiPriority w:val="39"/>
    <w:rsid w:val="001e299c"/>
    <w:pPr>
      <w:spacing w:after="0" w:line="240" w:lineRule="auto"/>
      <w:jc w:val="both"/>
    </w:pPr>
    <w:rPr>
      <w:lang w:val="ro-RO"/>
      <w:color w:val="000000" w:themeColor="text1"/>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2">
    <w:name w:val="Table Grid12"/>
    <w:basedOn w:val="TableNormal"/>
    <w:uiPriority w:val="39"/>
    <w:rsid w:val="00c846a8"/>
    <w:pPr>
      <w:spacing w:after="0" w:line="240" w:lineRule="auto"/>
      <w:jc w:val="both"/>
    </w:pPr>
    <w:rPr>
      <w:lang w:val="ro-RO"/>
      <w:color w:val="000000" w:themeColor="text1"/>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3">
    <w:name w:val="Table Grid13"/>
    <w:basedOn w:val="TableNormal"/>
    <w:uiPriority w:val="39"/>
    <w:rsid w:val="009b6ce1"/>
    <w:pPr>
      <w:spacing w:after="0" w:line="240" w:lineRule="auto"/>
      <w:jc w:val="both"/>
    </w:pPr>
    <w:rPr>
      <w:lang w:val="ro-RO"/>
      <w:color w:val="000000" w:themeColor="text1"/>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4">
    <w:name w:val="Table Grid14"/>
    <w:basedOn w:val="TableNormal"/>
    <w:uiPriority w:val="39"/>
    <w:rsid w:val="009b6ce1"/>
    <w:pPr>
      <w:spacing w:after="0" w:line="240" w:lineRule="auto"/>
      <w:jc w:val="both"/>
    </w:pPr>
    <w:rPr>
      <w:lang w:val="ro-RO"/>
      <w:color w:val="000000" w:themeColor="text1"/>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5">
    <w:name w:val="Table Grid15"/>
    <w:basedOn w:val="TableNormal"/>
    <w:uiPriority w:val="39"/>
    <w:rsid w:val="009b6ce1"/>
    <w:pPr>
      <w:spacing w:after="0" w:line="240" w:lineRule="auto"/>
      <w:jc w:val="both"/>
    </w:pPr>
    <w:rPr>
      <w:lang w:val="ro-RO"/>
      <w:color w:val="000000" w:themeColor="text1"/>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D791-7654-40F4-BB16-46E90726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LibreOffice/6.1.4.2$Windows_X86_64 LibreOffice_project/9d0f32d1f0b509096fd65e0d4bec26ddd1938fd3</Application>
  <Pages>2</Pages>
  <Words>706</Words>
  <Characters>4226</Characters>
  <CharactersWithSpaces>4920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2019-02-21T15:37:00Z</dcterms:created>
  <dc:creator>Musliu &amp; Asociații</dc:creator>
  <dc:description/>
  <dc:language>en-US</dc:language>
  <cp:lastModifiedBy/>
  <dcterms:modified xsi:type="dcterms:W3CDTF">2019-08-13T16:22:43Z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