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7E19" w14:textId="15E61C58" w:rsidR="00D804D6" w:rsidRPr="00D804D6" w:rsidRDefault="008B207A" w:rsidP="00D804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2F80">
        <w:rPr>
          <w:rFonts w:ascii="Times New Roman" w:hAnsi="Times New Roman" w:cs="Times New Roman"/>
          <w:b/>
          <w:bCs/>
          <w:sz w:val="20"/>
          <w:szCs w:val="20"/>
        </w:rPr>
        <w:t xml:space="preserve">ANEXA </w:t>
      </w:r>
      <w:r w:rsidR="00D804D6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</w:p>
    <w:p w14:paraId="68A63D3C" w14:textId="77777777" w:rsidR="008B207A" w:rsidRDefault="008B207A" w:rsidP="008B207A">
      <w:pPr>
        <w:jc w:val="right"/>
      </w:pPr>
    </w:p>
    <w:p w14:paraId="7A6D6777" w14:textId="77777777" w:rsidR="00802F80" w:rsidRDefault="00802F80" w:rsidP="008B207A">
      <w:pPr>
        <w:jc w:val="right"/>
      </w:pPr>
    </w:p>
    <w:p w14:paraId="49D0F40E" w14:textId="1F9C50E4" w:rsidR="008B207A" w:rsidRPr="00802F80" w:rsidRDefault="008B207A" w:rsidP="008B207A">
      <w:pPr>
        <w:spacing w:after="111"/>
        <w:ind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80">
        <w:rPr>
          <w:rFonts w:ascii="Times New Roman" w:hAnsi="Times New Roman" w:cs="Times New Roman"/>
          <w:b/>
          <w:bCs/>
          <w:sz w:val="24"/>
          <w:szCs w:val="24"/>
        </w:rPr>
        <w:t>DESCRIEREA SUMARĂ A INVESTIȚIEI PROPUSE A FI REALIZATA PRIN PROIECT</w:t>
      </w:r>
    </w:p>
    <w:p w14:paraId="4A8E0976" w14:textId="460DD4AD" w:rsidR="008B207A" w:rsidRPr="00802F80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80">
        <w:rPr>
          <w:rFonts w:ascii="Times New Roman" w:hAnsi="Times New Roman" w:cs="Times New Roman"/>
          <w:b/>
          <w:bCs/>
          <w:sz w:val="24"/>
          <w:szCs w:val="24"/>
        </w:rPr>
        <w:t xml:space="preserve">"MODERNIZARE STRADA ZARANDULUI" </w:t>
      </w:r>
      <w:r w:rsidRPr="00802F80">
        <w:rPr>
          <w:rFonts w:ascii="Times New Roman" w:hAnsi="Times New Roman" w:cs="Times New Roman"/>
          <w:b/>
          <w:bCs/>
          <w:sz w:val="24"/>
          <w:szCs w:val="24"/>
          <w:u w:val="single"/>
        </w:rPr>
        <w:t>– faza PT</w:t>
      </w:r>
    </w:p>
    <w:p w14:paraId="7E29DE81" w14:textId="77777777" w:rsidR="008B207A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AE29" w14:textId="77777777" w:rsidR="008B207A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135E" w14:textId="77777777" w:rsidR="00802F80" w:rsidRPr="008B207A" w:rsidRDefault="00802F80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0CF2D" w14:textId="7CC75FCA" w:rsidR="00802F80" w:rsidRDefault="008B207A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07A">
        <w:rPr>
          <w:rFonts w:ascii="Times New Roman" w:hAnsi="Times New Roman" w:cs="Times New Roman"/>
          <w:sz w:val="24"/>
          <w:szCs w:val="24"/>
        </w:rPr>
        <w:t xml:space="preserve">Proiectul </w:t>
      </w:r>
      <w:r w:rsidR="00802F80">
        <w:rPr>
          <w:rFonts w:ascii="Times New Roman" w:hAnsi="Times New Roman" w:cs="Times New Roman"/>
          <w:sz w:val="24"/>
          <w:szCs w:val="24"/>
        </w:rPr>
        <w:t xml:space="preserve">tehnic </w:t>
      </w:r>
      <w:r w:rsidRPr="008B207A">
        <w:rPr>
          <w:rFonts w:ascii="Times New Roman" w:hAnsi="Times New Roman" w:cs="Times New Roman"/>
          <w:sz w:val="24"/>
          <w:szCs w:val="24"/>
        </w:rPr>
        <w:t>propune modernizarea străzii Zarandului, inclus</w:t>
      </w:r>
      <w:r w:rsidR="00802F80">
        <w:rPr>
          <w:rFonts w:ascii="Times New Roman" w:hAnsi="Times New Roman" w:cs="Times New Roman"/>
          <w:sz w:val="24"/>
          <w:szCs w:val="24"/>
        </w:rPr>
        <w:t>ă</w:t>
      </w:r>
      <w:r w:rsidRPr="008B207A">
        <w:rPr>
          <w:rFonts w:ascii="Times New Roman" w:hAnsi="Times New Roman" w:cs="Times New Roman"/>
          <w:sz w:val="24"/>
          <w:szCs w:val="24"/>
        </w:rPr>
        <w:t xml:space="preserve"> în categoria a IV-a străzi de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locală, străzi ce asigura accesul la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locuinte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</w:t>
      </w:r>
      <w:r w:rsidR="00802F80">
        <w:rPr>
          <w:rFonts w:ascii="Times New Roman" w:hAnsi="Times New Roman" w:cs="Times New Roman"/>
          <w:sz w:val="24"/>
          <w:szCs w:val="24"/>
        </w:rPr>
        <w:t>ș</w:t>
      </w:r>
      <w:r w:rsidRPr="008B207A">
        <w:rPr>
          <w:rFonts w:ascii="Times New Roman" w:hAnsi="Times New Roman" w:cs="Times New Roman"/>
          <w:sz w:val="24"/>
          <w:szCs w:val="24"/>
        </w:rPr>
        <w:t xml:space="preserve">i servicii curente sau ocazionale din zonele cu trafic foarte redus, în concordanța cu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tehnico-economicã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(faza DALI) și cu respectarea indicatorilor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- economici, aprobați prin H.C.L nr.139 din 29.04.2022</w:t>
      </w:r>
    </w:p>
    <w:p w14:paraId="099B647C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0ABF7" w14:textId="604275E1" w:rsidR="008B207A" w:rsidRDefault="008B207A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07A">
        <w:rPr>
          <w:rFonts w:ascii="Times New Roman" w:hAnsi="Times New Roman" w:cs="Times New Roman"/>
          <w:sz w:val="24"/>
          <w:szCs w:val="24"/>
        </w:rPr>
        <w:t xml:space="preserve">Terenul se află în întregime în folosința domeniului public, </w:t>
      </w:r>
      <w:r w:rsidR="00802F80" w:rsidRPr="00802F80">
        <w:rPr>
          <w:rFonts w:ascii="Times New Roman" w:hAnsi="Times New Roman" w:cs="Times New Roman"/>
          <w:sz w:val="24"/>
          <w:szCs w:val="24"/>
        </w:rPr>
        <w:t>este identificat prin CF 1</w:t>
      </w:r>
      <w:r w:rsidR="00802F80">
        <w:rPr>
          <w:rFonts w:ascii="Times New Roman" w:hAnsi="Times New Roman" w:cs="Times New Roman"/>
          <w:sz w:val="24"/>
          <w:szCs w:val="24"/>
        </w:rPr>
        <w:t>35</w:t>
      </w:r>
      <w:r w:rsidR="00802F80" w:rsidRPr="00802F80">
        <w:rPr>
          <w:rFonts w:ascii="Times New Roman" w:hAnsi="Times New Roman" w:cs="Times New Roman"/>
          <w:sz w:val="24"/>
          <w:szCs w:val="24"/>
        </w:rPr>
        <w:t>633, CF 1</w:t>
      </w:r>
      <w:r w:rsidR="00802F80">
        <w:rPr>
          <w:rFonts w:ascii="Times New Roman" w:hAnsi="Times New Roman" w:cs="Times New Roman"/>
          <w:sz w:val="24"/>
          <w:szCs w:val="24"/>
        </w:rPr>
        <w:t>35</w:t>
      </w:r>
      <w:r w:rsidR="00802F80" w:rsidRPr="00802F80">
        <w:rPr>
          <w:rFonts w:ascii="Times New Roman" w:hAnsi="Times New Roman" w:cs="Times New Roman"/>
          <w:sz w:val="24"/>
          <w:szCs w:val="24"/>
        </w:rPr>
        <w:t>634, CF 142890 și CF 128654 conform Certificatului de Urbanism</w:t>
      </w:r>
      <w:r w:rsidR="00802F80">
        <w:rPr>
          <w:rFonts w:ascii="Times New Roman" w:hAnsi="Times New Roman" w:cs="Times New Roman"/>
          <w:sz w:val="24"/>
          <w:szCs w:val="24"/>
        </w:rPr>
        <w:t xml:space="preserve"> nr. 1442/23.11.2023 </w:t>
      </w:r>
      <w:r w:rsidRPr="008B207A">
        <w:rPr>
          <w:rFonts w:ascii="Times New Roman" w:hAnsi="Times New Roman" w:cs="Times New Roman"/>
          <w:sz w:val="24"/>
          <w:szCs w:val="24"/>
        </w:rPr>
        <w:t>ampriza străzii rămânând nemodificata în urma procesului de modernizare</w:t>
      </w:r>
      <w:r w:rsidR="00802F80">
        <w:rPr>
          <w:rFonts w:ascii="Times New Roman" w:hAnsi="Times New Roman" w:cs="Times New Roman"/>
          <w:sz w:val="24"/>
          <w:szCs w:val="24"/>
        </w:rPr>
        <w:t>.</w:t>
      </w:r>
    </w:p>
    <w:p w14:paraId="7A28F0AB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E37E1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2276F" w14:textId="059EA334" w:rsidR="008B207A" w:rsidRPr="008B207A" w:rsidRDefault="00802F80" w:rsidP="008B207A">
      <w:pPr>
        <w:pStyle w:val="Default"/>
        <w:jc w:val="both"/>
        <w:rPr>
          <w:rFonts w:ascii="Times New Roman" w:hAnsi="Times New Roman" w:cs="Times New Roman"/>
          <w:color w:val="000009"/>
          <w:u w:val="single"/>
        </w:rPr>
      </w:pPr>
      <w:r>
        <w:rPr>
          <w:rFonts w:ascii="Times New Roman" w:hAnsi="Times New Roman" w:cs="Times New Roman"/>
          <w:b/>
          <w:bCs/>
          <w:color w:val="000009"/>
          <w:u w:val="single"/>
        </w:rPr>
        <w:t xml:space="preserve">INFRASTRUCTURA RUTIERĂ - </w:t>
      </w:r>
      <w:r w:rsidR="008B207A" w:rsidRPr="008B207A">
        <w:rPr>
          <w:rFonts w:ascii="Times New Roman" w:hAnsi="Times New Roman" w:cs="Times New Roman"/>
          <w:b/>
          <w:bCs/>
          <w:color w:val="000009"/>
          <w:u w:val="single"/>
        </w:rPr>
        <w:t xml:space="preserve">STRADA ZARANDULUI KM 0+000 – KM 0+194 </w:t>
      </w:r>
    </w:p>
    <w:p w14:paraId="6F1E6C0F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1A319646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581F74CF" w14:textId="537CA04C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PARTEA CAROSABILĂ </w:t>
      </w:r>
    </w:p>
    <w:p w14:paraId="6B3AEC9B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Partea carosabilă se execută cu lățimea de 4,00 m, cu două benzi de circulație cu panta transversală a părții carosabile de 2,5% într-o singură apă de la dreapta la stânga. </w:t>
      </w:r>
    </w:p>
    <w:p w14:paraId="49D11ED6" w14:textId="339B633D" w:rsidR="008B207A" w:rsidRPr="008B207A" w:rsidRDefault="008B207A" w:rsidP="008B207A">
      <w:pPr>
        <w:pStyle w:val="Default"/>
        <w:spacing w:before="240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Partea carosabilă va fi mărginită de borduri prefabricate de beton 15 x 25 cm pe fundație de beton C16/20 cu dimensiunea 15 x 30 cm, pe partea dreapta. </w:t>
      </w:r>
    </w:p>
    <w:p w14:paraId="252104E0" w14:textId="77777777" w:rsidR="008B207A" w:rsidRDefault="008B207A" w:rsidP="008B207A">
      <w:pPr>
        <w:pStyle w:val="Default"/>
        <w:spacing w:before="240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Pe partea stânga, suprafața carosabilă se va încadra cu acostamente asfaltate de 0,50 m , cu panta transversală de 4%.</w:t>
      </w:r>
    </w:p>
    <w:p w14:paraId="7698D852" w14:textId="5FAA58E4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60AFC729" w14:textId="7233229B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>Lungimea străzii studiate este de 1</w:t>
      </w:r>
      <w:r>
        <w:rPr>
          <w:rFonts w:ascii="Times New Roman" w:hAnsi="Times New Roman" w:cs="Times New Roman"/>
          <w:b/>
          <w:bCs/>
          <w:color w:val="000009"/>
        </w:rPr>
        <w:t>94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 m (0,</w:t>
      </w:r>
      <w:r>
        <w:rPr>
          <w:rFonts w:ascii="Times New Roman" w:hAnsi="Times New Roman" w:cs="Times New Roman"/>
          <w:b/>
          <w:bCs/>
          <w:color w:val="000009"/>
        </w:rPr>
        <w:t>194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 Km). </w:t>
      </w:r>
    </w:p>
    <w:p w14:paraId="5278560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Suprafața carosabilă proiectată : 765 mp. </w:t>
      </w:r>
    </w:p>
    <w:p w14:paraId="1F1143C1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>Lungimea bordurilor 15x25 cm : 154 ml.</w:t>
      </w:r>
    </w:p>
    <w:p w14:paraId="6D88EDC2" w14:textId="2EC38D52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 </w:t>
      </w:r>
    </w:p>
    <w:p w14:paraId="3916138D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Proces tehnologic: </w:t>
      </w:r>
    </w:p>
    <w:p w14:paraId="1EF8ED9A" w14:textId="49A6D095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o săpătură de cca. 40 cm ; </w:t>
      </w:r>
    </w:p>
    <w:p w14:paraId="4EBFFD91" w14:textId="5DD14680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formă din pământ tratat cu var de 10 cm grosime; </w:t>
      </w:r>
    </w:p>
    <w:p w14:paraId="366F8E99" w14:textId="1FD000E5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fundația de balast de 25 cm grosime; </w:t>
      </w:r>
    </w:p>
    <w:p w14:paraId="70BE6523" w14:textId="01031BB6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bază din piatră spartă de 15 cm grosime; </w:t>
      </w:r>
    </w:p>
    <w:p w14:paraId="533ADC96" w14:textId="20BF5AC2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legătură din mixtură asfaltică EB20 leg 50/70 de 6 cm grosime; </w:t>
      </w:r>
    </w:p>
    <w:p w14:paraId="142D3D7D" w14:textId="5AF456F4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uzură din mixtură asfaltică BAR16 </w:t>
      </w:r>
      <w:proofErr w:type="spellStart"/>
      <w:r w:rsidRPr="008B207A">
        <w:rPr>
          <w:rFonts w:ascii="Times New Roman" w:hAnsi="Times New Roman" w:cs="Times New Roman"/>
          <w:color w:val="000009"/>
        </w:rPr>
        <w:t>rul</w:t>
      </w:r>
      <w:proofErr w:type="spellEnd"/>
      <w:r>
        <w:rPr>
          <w:rFonts w:ascii="Times New Roman" w:hAnsi="Times New Roman" w:cs="Times New Roman"/>
          <w:color w:val="000009"/>
        </w:rPr>
        <w:t>.</w:t>
      </w:r>
      <w:r w:rsidRPr="008B207A">
        <w:rPr>
          <w:rFonts w:ascii="Times New Roman" w:hAnsi="Times New Roman" w:cs="Times New Roman"/>
          <w:color w:val="000009"/>
        </w:rPr>
        <w:t xml:space="preserve"> 50/70 de 4 cm grosime</w:t>
      </w:r>
      <w:r w:rsidRPr="008B207A">
        <w:rPr>
          <w:rFonts w:ascii="Times New Roman" w:hAnsi="Times New Roman" w:cs="Times New Roman"/>
          <w:color w:val="FF0000"/>
        </w:rPr>
        <w:t xml:space="preserve">. </w:t>
      </w:r>
    </w:p>
    <w:p w14:paraId="269C9378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A37EE26" w14:textId="6E648FA7" w:rsidR="008B207A" w:rsidRPr="00802F80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Toate straturile executate cu așternere de materiale se vor executa mecanizat.</w:t>
      </w:r>
    </w:p>
    <w:p w14:paraId="43F6D56E" w14:textId="77777777" w:rsidR="00D804D6" w:rsidRDefault="00D804D6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5331E020" w14:textId="77777777" w:rsidR="00D804D6" w:rsidRDefault="00D804D6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56170140" w14:textId="6F66BB71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lastRenderedPageBreak/>
        <w:t xml:space="preserve">TROTUARE </w:t>
      </w:r>
    </w:p>
    <w:p w14:paraId="4B97DAAD" w14:textId="06437E18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vor executa trotuare pietonale, pe partea dreaptă a străzii în limita amprizei existente, lățimea trotuarelor se va executa cu lățime variabilă </w:t>
      </w:r>
      <w:r w:rsidR="00132EC8">
        <w:rPr>
          <w:rFonts w:ascii="Times New Roman" w:hAnsi="Times New Roman" w:cs="Times New Roman"/>
          <w:color w:val="000009"/>
        </w:rPr>
        <w:t>1</w:t>
      </w:r>
      <w:r w:rsidRPr="008B207A">
        <w:rPr>
          <w:rFonts w:ascii="Times New Roman" w:hAnsi="Times New Roman" w:cs="Times New Roman"/>
          <w:color w:val="000009"/>
        </w:rPr>
        <w:t>,</w:t>
      </w:r>
      <w:r w:rsidR="00132EC8">
        <w:rPr>
          <w:rFonts w:ascii="Times New Roman" w:hAnsi="Times New Roman" w:cs="Times New Roman"/>
          <w:color w:val="000009"/>
        </w:rPr>
        <w:t>00</w:t>
      </w:r>
      <w:r w:rsidRPr="008B207A">
        <w:rPr>
          <w:rFonts w:ascii="Times New Roman" w:hAnsi="Times New Roman" w:cs="Times New Roman"/>
          <w:color w:val="000009"/>
        </w:rPr>
        <w:t xml:space="preserve"> – </w:t>
      </w:r>
      <w:r w:rsidR="00802F80">
        <w:rPr>
          <w:rFonts w:ascii="Times New Roman" w:hAnsi="Times New Roman" w:cs="Times New Roman"/>
          <w:color w:val="000009"/>
        </w:rPr>
        <w:t>1</w:t>
      </w:r>
      <w:r w:rsidRPr="008B207A">
        <w:rPr>
          <w:rFonts w:ascii="Times New Roman" w:hAnsi="Times New Roman" w:cs="Times New Roman"/>
          <w:color w:val="000009"/>
        </w:rPr>
        <w:t>,</w:t>
      </w:r>
      <w:r w:rsidR="00132EC8">
        <w:rPr>
          <w:rFonts w:ascii="Times New Roman" w:hAnsi="Times New Roman" w:cs="Times New Roman"/>
          <w:color w:val="000009"/>
        </w:rPr>
        <w:t>60</w:t>
      </w:r>
      <w:r w:rsidRPr="008B207A">
        <w:rPr>
          <w:rFonts w:ascii="Times New Roman" w:hAnsi="Times New Roman" w:cs="Times New Roman"/>
          <w:color w:val="000009"/>
        </w:rPr>
        <w:t xml:space="preserve"> m. </w:t>
      </w:r>
    </w:p>
    <w:p w14:paraId="1BAD044E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Panta transversală a trotuarelor se va realiza de 1,50 %. </w:t>
      </w:r>
    </w:p>
    <w:p w14:paraId="578AD590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Suprafața trotuarelor: S= 161 mp; </w:t>
      </w:r>
    </w:p>
    <w:p w14:paraId="158192CF" w14:textId="042FDC1E" w:rsidR="008B207A" w:rsidRDefault="008B207A" w:rsidP="00132EC8">
      <w:pPr>
        <w:spacing w:after="0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b/>
          <w:bCs/>
          <w:color w:val="000009"/>
          <w:sz w:val="24"/>
          <w:szCs w:val="24"/>
        </w:rPr>
        <w:t>Lungime borduri 10 x 15 x 100cm L= 128 ml;</w:t>
      </w:r>
    </w:p>
    <w:p w14:paraId="6E5650BA" w14:textId="77777777" w:rsidR="00132EC8" w:rsidRPr="008B207A" w:rsidRDefault="00132EC8" w:rsidP="00132E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5391A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Proces tehnologic: </w:t>
      </w:r>
    </w:p>
    <w:p w14:paraId="7AFC82AB" w14:textId="320AE01E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strat de fundație din balast -25 cm; </w:t>
      </w:r>
    </w:p>
    <w:p w14:paraId="442DCD5C" w14:textId="6644B0F1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strat de beton C25/30 -10 cm; </w:t>
      </w:r>
    </w:p>
    <w:p w14:paraId="2C2C2A59" w14:textId="748108A4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</w:rPr>
      </w:pPr>
      <w:r w:rsidRPr="008B207A">
        <w:rPr>
          <w:rFonts w:ascii="Times New Roman" w:hAnsi="Times New Roman" w:cs="Times New Roman"/>
          <w:color w:val="000009"/>
        </w:rPr>
        <w:t>strat de uzură de mixtură asfaltică BA8 - 3 cm.</w:t>
      </w:r>
      <w:r w:rsidRPr="008B207A">
        <w:rPr>
          <w:rFonts w:ascii="Times New Roman" w:hAnsi="Times New Roman" w:cs="Times New Roman"/>
          <w:color w:val="FF0000"/>
        </w:rPr>
        <w:t xml:space="preserve"> </w:t>
      </w:r>
    </w:p>
    <w:p w14:paraId="35616FB3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1E477B1D" w14:textId="77777777" w:rsidR="009F1E9A" w:rsidRDefault="00132EC8" w:rsidP="008B20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1E9A">
        <w:rPr>
          <w:rFonts w:ascii="Times New Roman" w:hAnsi="Times New Roman" w:cs="Times New Roman"/>
          <w:b/>
          <w:bCs/>
          <w:color w:val="auto"/>
        </w:rPr>
        <w:t>ACCESELE LA PROPRIETĂȚILE RIVERANE</w:t>
      </w:r>
      <w:r w:rsidRPr="009F1E9A">
        <w:rPr>
          <w:rFonts w:ascii="Times New Roman" w:hAnsi="Times New Roman" w:cs="Times New Roman"/>
          <w:color w:val="auto"/>
        </w:rPr>
        <w:t xml:space="preserve"> </w:t>
      </w:r>
    </w:p>
    <w:p w14:paraId="1C06DCF1" w14:textId="6E6159D6" w:rsidR="00132EC8" w:rsidRPr="009F1E9A" w:rsidRDefault="009F1E9A" w:rsidP="008B20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1E9A">
        <w:rPr>
          <w:rFonts w:ascii="Times New Roman" w:hAnsi="Times New Roman" w:cs="Times New Roman"/>
          <w:color w:val="auto"/>
        </w:rPr>
        <w:t xml:space="preserve">Accesele la proprietățile riverane </w:t>
      </w:r>
      <w:r w:rsidR="00132EC8" w:rsidRPr="009F1E9A">
        <w:rPr>
          <w:rFonts w:ascii="Times New Roman" w:hAnsi="Times New Roman" w:cs="Times New Roman"/>
          <w:color w:val="auto"/>
        </w:rPr>
        <w:t>se vor realiza cu elemente tip rampă de 50 x 25 x 25 cm prefabricate de beton în număr de 112 buc. cu lungime totală de 28 ml, racordul se va reali</w:t>
      </w:r>
      <w:r w:rsidRPr="009F1E9A">
        <w:rPr>
          <w:rFonts w:ascii="Times New Roman" w:hAnsi="Times New Roman" w:cs="Times New Roman"/>
          <w:color w:val="auto"/>
        </w:rPr>
        <w:t>za cu borduri tip racord în nr. de 8 buc.</w:t>
      </w:r>
    </w:p>
    <w:p w14:paraId="73E021B5" w14:textId="77777777" w:rsidR="00132EC8" w:rsidRPr="008B207A" w:rsidRDefault="00132EC8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606F7EC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SCURGEREA APELOR </w:t>
      </w:r>
    </w:p>
    <w:p w14:paraId="1C6C1E48" w14:textId="242647D3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Apele pluviale ce se adună pe carosabil și trotuare, pe timpul precipitațiilor, se vor evacua în prima instanță gravitațional, se colectează în șanțul trapezoidal de beton C35/45 cu lățimea de 1,50 m. Șanțul proiectat se va realiza pe tronsonul Km 0+000 – Km 0+05</w:t>
      </w:r>
      <w:r w:rsidR="009F1E9A">
        <w:rPr>
          <w:rFonts w:ascii="Times New Roman" w:hAnsi="Times New Roman" w:cs="Times New Roman"/>
          <w:color w:val="000009"/>
        </w:rPr>
        <w:t>8</w:t>
      </w:r>
      <w:r w:rsidRPr="008B207A">
        <w:rPr>
          <w:rFonts w:ascii="Times New Roman" w:hAnsi="Times New Roman" w:cs="Times New Roman"/>
          <w:color w:val="000009"/>
        </w:rPr>
        <w:t>, pe partea stânga.</w:t>
      </w:r>
      <w:r w:rsidR="009F1E9A">
        <w:rPr>
          <w:rFonts w:ascii="Times New Roman" w:hAnsi="Times New Roman" w:cs="Times New Roman"/>
          <w:color w:val="000009"/>
        </w:rPr>
        <w:t xml:space="preserve"> În amonte de șanțul betonat este prezent în amplasament un șanț de pământ ce se va decolmata și racorda la șanțul de beton proiectat.</w:t>
      </w:r>
    </w:p>
    <w:p w14:paraId="04620708" w14:textId="76685AB1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3FB47FC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UTILITĂȚI </w:t>
      </w:r>
    </w:p>
    <w:p w14:paraId="0A967572" w14:textId="16944C48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Nu vor fi afectate în timpul execuției lucrărilor de modernizare. Capacele căminelor aflate pe traseul străzii se vor aduce la cota liniei roșii (cota proiectată). </w:t>
      </w:r>
      <w:r w:rsidR="009F1E9A">
        <w:rPr>
          <w:rFonts w:ascii="Times New Roman" w:hAnsi="Times New Roman" w:cs="Times New Roman"/>
          <w:color w:val="000009"/>
        </w:rPr>
        <w:t>Se vor ridica la cota liniei roșii 12 buc. capace de cămin.</w:t>
      </w:r>
    </w:p>
    <w:p w14:paraId="7581414B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</w:p>
    <w:p w14:paraId="492457D4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SIGURANȚA CIRCULAȚIEI </w:t>
      </w:r>
    </w:p>
    <w:p w14:paraId="124A2973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Pe timpul execuției lucrărilor semnalizarea acestora se va face conform 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Normelor metodologice privind condițiile de închidere a circulației și de instituire a restricțiilor de circulație în vederea executării de lucrări în zona drumului public și/sau pentru protejarea drumului </w:t>
      </w:r>
      <w:r w:rsidRPr="008B207A">
        <w:rPr>
          <w:rFonts w:ascii="Times New Roman" w:hAnsi="Times New Roman" w:cs="Times New Roman"/>
          <w:color w:val="000009"/>
        </w:rPr>
        <w:t xml:space="preserve">- Ordin comun al Ministerului Transporturilor și al Ministerului de Interne nr. 411 / 1112 / 2000. </w:t>
      </w:r>
    </w:p>
    <w:p w14:paraId="3B70342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Semnalizarea lucrărilor de execuție reprezintă o sarcină a constructorului.</w:t>
      </w:r>
    </w:p>
    <w:p w14:paraId="4224D48E" w14:textId="7AB2E10A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1CA38FD1" w14:textId="19FB12C5" w:rsidR="008B207A" w:rsidRPr="008B207A" w:rsidRDefault="008B207A" w:rsidP="008B207A">
      <w:pPr>
        <w:spacing w:line="240" w:lineRule="auto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color w:val="000009"/>
          <w:sz w:val="24"/>
          <w:szCs w:val="24"/>
        </w:rPr>
        <w:t>Recomandarea proiectantului este ca pe parcursul execuției lucrărilor circulația rutieră să fie deviată pe alte rute (dacă este posibil) . În această ipoteză se recomandă semnalizarea lucrărilor conform figurii G2 si G4 din Normele metodologice</w:t>
      </w:r>
      <w:r w:rsidRPr="008B207A">
        <w:rPr>
          <w:rFonts w:ascii="Times New Roman" w:hAnsi="Times New Roman" w:cs="Times New Roman"/>
          <w:b/>
          <w:bCs/>
          <w:color w:val="000009"/>
          <w:sz w:val="24"/>
          <w:szCs w:val="24"/>
        </w:rPr>
        <w:t>.</w:t>
      </w:r>
    </w:p>
    <w:p w14:paraId="5CA12C9A" w14:textId="77777777" w:rsidR="00132EC8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Indiferent de forma în care se prezintă, semnalizarea rutieră trebuie să furnizeze participanților la trafic indicațiile obligatorii necesare pentru a circula în siguranță pe drumul public . </w:t>
      </w:r>
    </w:p>
    <w:p w14:paraId="2144FF1A" w14:textId="3D46B52C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În acest scop este prevăzută semnalizare verticală ( indicatoare de circulație ) și semnalizare orizontală ( marcaje rutiere ).</w:t>
      </w:r>
    </w:p>
    <w:p w14:paraId="5AF3FAC1" w14:textId="446CE975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5CE79AB9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Semnalizarea rutieră verticală se va executa conform SR 1848-1: 2011, SR 1848-2 : 2011. </w:t>
      </w:r>
    </w:p>
    <w:p w14:paraId="77A33373" w14:textId="0063D1CE" w:rsidR="008B207A" w:rsidRPr="008B207A" w:rsidRDefault="008B207A" w:rsidP="008B207A">
      <w:pPr>
        <w:spacing w:line="240" w:lineRule="auto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color w:val="000009"/>
          <w:sz w:val="24"/>
          <w:szCs w:val="24"/>
        </w:rPr>
        <w:t>Semnalizarea rutieră orizontală se va executa conform SR 1848-7 / 2004. Această semnalizare va cuprinde marcaj axial</w:t>
      </w:r>
      <w:r w:rsidR="00132EC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14:paraId="679ACCE2" w14:textId="77777777" w:rsidR="008B207A" w:rsidRDefault="008B207A" w:rsidP="008B2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02BD" w14:textId="77777777" w:rsidR="009F1E9A" w:rsidRPr="009F1E9A" w:rsidRDefault="009F1E9A" w:rsidP="009F1E9A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lastRenderedPageBreak/>
        <w:t xml:space="preserve">Principalii indicatori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tehnico</w:t>
      </w:r>
      <w:proofErr w:type="spellEnd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-economici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aferenţi</w:t>
      </w:r>
      <w:proofErr w:type="spellEnd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obiectului de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investiţii</w:t>
      </w:r>
      <w:proofErr w:type="spellEnd"/>
    </w:p>
    <w:p w14:paraId="08041123" w14:textId="77777777" w:rsidR="009F1E9A" w:rsidRPr="009F1E9A" w:rsidRDefault="009F1E9A" w:rsidP="009F1E9A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1F122496" w14:textId="77777777" w:rsidR="009F1E9A" w:rsidRPr="009F1E9A" w:rsidRDefault="009F1E9A" w:rsidP="009F1E9A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i/>
          <w:sz w:val="24"/>
          <w:szCs w:val="24"/>
          <w:lang w:val="it-IT"/>
        </w:rPr>
        <w:t>a) indicatori maximali în conformitate cu devizul general;</w:t>
      </w:r>
    </w:p>
    <w:p w14:paraId="1612632A" w14:textId="77777777" w:rsidR="009F1E9A" w:rsidRPr="009F1E9A" w:rsidRDefault="009F1E9A" w:rsidP="009F1E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661595"/>
      <w:r w:rsidRPr="009F1E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valoarea totală a obiectivului de investiţii (lei cu TVA inclus): </w:t>
      </w:r>
      <w:bookmarkStart w:id="1" w:name="_Hlk79662784"/>
      <w:r w:rsidRPr="009F1E9A">
        <w:rPr>
          <w:rFonts w:ascii="Times New Roman" w:hAnsi="Times New Roman" w:cs="Times New Roman"/>
          <w:b/>
          <w:sz w:val="24"/>
          <w:szCs w:val="24"/>
        </w:rPr>
        <w:t xml:space="preserve">472,058,31 </w:t>
      </w:r>
      <w:bookmarkEnd w:id="1"/>
      <w:r w:rsidRPr="009F1E9A">
        <w:rPr>
          <w:rFonts w:ascii="Times New Roman" w:hAnsi="Times New Roman" w:cs="Times New Roman"/>
          <w:b/>
          <w:sz w:val="24"/>
          <w:szCs w:val="24"/>
        </w:rPr>
        <w:t>lei</w:t>
      </w:r>
    </w:p>
    <w:p w14:paraId="5A72FF79" w14:textId="77777777" w:rsidR="009F1E9A" w:rsidRPr="009F1E9A" w:rsidRDefault="009F1E9A" w:rsidP="009F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din care C+M (lei cu TVA inclus): </w:t>
      </w:r>
      <w:r w:rsidRPr="009F1E9A">
        <w:rPr>
          <w:rFonts w:ascii="Times New Roman" w:hAnsi="Times New Roman" w:cs="Times New Roman"/>
          <w:b/>
          <w:sz w:val="24"/>
          <w:szCs w:val="24"/>
          <w:lang w:val="fr-FR"/>
        </w:rPr>
        <w:t>340.708,90 lei</w:t>
      </w:r>
    </w:p>
    <w:p w14:paraId="08BFAE29" w14:textId="77777777" w:rsidR="009F1E9A" w:rsidRPr="009F1E9A" w:rsidRDefault="009F1E9A" w:rsidP="009F1E9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</w:pPr>
      <w:bookmarkStart w:id="2" w:name="_Hlk3188563"/>
      <w:bookmarkEnd w:id="0"/>
    </w:p>
    <w:p w14:paraId="3C890F45" w14:textId="77777777" w:rsidR="009F1E9A" w:rsidRPr="009F1E9A" w:rsidRDefault="009F1E9A" w:rsidP="009F1E9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bCs/>
          <w:sz w:val="24"/>
          <w:szCs w:val="24"/>
          <w:lang w:val="it-IT"/>
        </w:rPr>
        <w:t> </w:t>
      </w:r>
      <w:r w:rsidRPr="009F1E9A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b) indicatori minimali, indicatori de performanţă; </w:t>
      </w:r>
      <w:bookmarkEnd w:id="2"/>
    </w:p>
    <w:p w14:paraId="4C3AEF27" w14:textId="7D9D94B3" w:rsidR="009F1E9A" w:rsidRPr="009F1E9A" w:rsidRDefault="009F1E9A" w:rsidP="009F1E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Capacităţi: </w:t>
      </w:r>
      <w:r w:rsidRPr="009F1E9A">
        <w:rPr>
          <w:rFonts w:ascii="Times New Roman" w:hAnsi="Times New Roman" w:cs="Times New Roman"/>
          <w:sz w:val="24"/>
          <w:szCs w:val="24"/>
          <w:lang w:val="it-IT"/>
        </w:rPr>
        <w:t>Obiectivul de investiţii are următoarele caracteristici:</w:t>
      </w:r>
    </w:p>
    <w:p w14:paraId="0BF57DF8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Lungimea reala totala L = 194 m (0,194 km)</w:t>
      </w:r>
    </w:p>
    <w:p w14:paraId="63EE3B8E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Suprafață carosabil: S= 765 mp; - inclusiv cu acostament </w:t>
      </w:r>
      <w:proofErr w:type="spellStart"/>
      <w:r w:rsidRPr="009F1E9A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>.</w:t>
      </w:r>
    </w:p>
    <w:p w14:paraId="456F93B9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trotuarelor: S=161 mp;</w:t>
      </w:r>
    </w:p>
    <w:p w14:paraId="6482F194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Suprafață </w:t>
      </w:r>
      <w:proofErr w:type="spellStart"/>
      <w:r w:rsidRPr="009F1E9A">
        <w:rPr>
          <w:rFonts w:ascii="Times New Roman" w:hAnsi="Times New Roman" w:cs="Times New Roman"/>
          <w:sz w:val="24"/>
          <w:szCs w:val="24"/>
        </w:rPr>
        <w:t>sanțuri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>: S=78 mp;</w:t>
      </w:r>
    </w:p>
    <w:p w14:paraId="0E7A9EA6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bordura 10X15: S= 13 mp;</w:t>
      </w:r>
    </w:p>
    <w:p w14:paraId="1124FEA7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bordura 15X25: S= 28 mp; - inclusiv cu element de racord</w:t>
      </w:r>
    </w:p>
    <w:p w14:paraId="534A16EC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elemente de rampa: S=14 mp;</w:t>
      </w:r>
    </w:p>
    <w:p w14:paraId="5C5E35CC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șanțuri betonate: L=52 ml;</w:t>
      </w:r>
    </w:p>
    <w:p w14:paraId="2542B9B0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 w:right="3883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Lungime borduri stradale: L= 154 ml; </w:t>
      </w:r>
    </w:p>
    <w:p w14:paraId="0BDA61F8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 w:right="3883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elemente de rampă: L= 28 ml;</w:t>
      </w:r>
    </w:p>
    <w:p w14:paraId="53ED1014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bordura trotuare; L= 128 ml;</w:t>
      </w:r>
    </w:p>
    <w:p w14:paraId="488EB6D1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9F1E9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 xml:space="preserve"> totală lucrări proiectate: S=l.059 mp.</w:t>
      </w:r>
    </w:p>
    <w:p w14:paraId="635CCB09" w14:textId="77777777" w:rsidR="009F1E9A" w:rsidRPr="008B207A" w:rsidRDefault="009F1E9A" w:rsidP="008B2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E9A" w:rsidRPr="008B20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E0B6" w14:textId="77777777" w:rsidR="009923D6" w:rsidRDefault="009923D6" w:rsidP="009F1E9A">
      <w:pPr>
        <w:spacing w:after="0" w:line="240" w:lineRule="auto"/>
      </w:pPr>
      <w:r>
        <w:separator/>
      </w:r>
    </w:p>
  </w:endnote>
  <w:endnote w:type="continuationSeparator" w:id="0">
    <w:p w14:paraId="498C08F6" w14:textId="77777777" w:rsidR="009923D6" w:rsidRDefault="009923D6" w:rsidP="009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7AE2B" w14:textId="0B1AF7FB" w:rsidR="009F1E9A" w:rsidRDefault="009F1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97CB6" w14:textId="77777777" w:rsidR="009F1E9A" w:rsidRDefault="009F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3B3D" w14:textId="77777777" w:rsidR="009923D6" w:rsidRDefault="009923D6" w:rsidP="009F1E9A">
      <w:pPr>
        <w:spacing w:after="0" w:line="240" w:lineRule="auto"/>
      </w:pPr>
      <w:r>
        <w:separator/>
      </w:r>
    </w:p>
  </w:footnote>
  <w:footnote w:type="continuationSeparator" w:id="0">
    <w:p w14:paraId="4F7B296F" w14:textId="77777777" w:rsidR="009923D6" w:rsidRDefault="009923D6" w:rsidP="009F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A01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081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A21861"/>
    <w:multiLevelType w:val="hybridMultilevel"/>
    <w:tmpl w:val="E6304EAA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65421"/>
    <w:multiLevelType w:val="hybridMultilevel"/>
    <w:tmpl w:val="9B9894BC"/>
    <w:lvl w:ilvl="0" w:tplc="8452BA2A"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47EE3681"/>
    <w:multiLevelType w:val="hybridMultilevel"/>
    <w:tmpl w:val="7DDCED7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4649">
    <w:abstractNumId w:val="1"/>
  </w:num>
  <w:num w:numId="2" w16cid:durableId="727918524">
    <w:abstractNumId w:val="2"/>
  </w:num>
  <w:num w:numId="3" w16cid:durableId="385253058">
    <w:abstractNumId w:val="0"/>
  </w:num>
  <w:num w:numId="4" w16cid:durableId="1491828349">
    <w:abstractNumId w:val="4"/>
  </w:num>
  <w:num w:numId="5" w16cid:durableId="106483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B"/>
    <w:rsid w:val="0003566B"/>
    <w:rsid w:val="00132EC8"/>
    <w:rsid w:val="00802F80"/>
    <w:rsid w:val="008B207A"/>
    <w:rsid w:val="009923D6"/>
    <w:rsid w:val="009B1C6E"/>
    <w:rsid w:val="009F1E9A"/>
    <w:rsid w:val="00D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B0B"/>
  <w15:chartTrackingRefBased/>
  <w15:docId w15:val="{1BC5DEF5-32A2-4017-9CB5-07B4E48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9A"/>
  </w:style>
  <w:style w:type="paragraph" w:styleId="Footer">
    <w:name w:val="footer"/>
    <w:basedOn w:val="Normal"/>
    <w:link w:val="FooterChar"/>
    <w:uiPriority w:val="99"/>
    <w:unhideWhenUsed/>
    <w:rsid w:val="009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802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2023-12-08T07:58:00Z</dcterms:created>
  <dcterms:modified xsi:type="dcterms:W3CDTF">2023-12-12T07:38:00Z</dcterms:modified>
</cp:coreProperties>
</file>