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1F7FF" w14:textId="77777777" w:rsidR="00D97FC3" w:rsidRPr="00036994" w:rsidRDefault="00D97FC3" w:rsidP="00D97FC3">
      <w:pPr>
        <w:spacing w:after="0"/>
        <w:ind w:left="5760" w:firstLine="720"/>
        <w:jc w:val="both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036994">
        <w:rPr>
          <w:rFonts w:ascii="Times New Roman" w:eastAsia="Arial Unicode MS" w:hAnsi="Times New Roman" w:cs="Arial Unicode MS"/>
          <w:noProof/>
          <w:kern w:val="1"/>
          <w:sz w:val="24"/>
          <w:szCs w:val="24"/>
          <w:lang w:val="ro-RO"/>
        </w:rPr>
        <w:drawing>
          <wp:anchor distT="0" distB="0" distL="114300" distR="114300" simplePos="0" relativeHeight="251659264" behindDoc="1" locked="0" layoutInCell="1" allowOverlap="1" wp14:anchorId="5C680FA2" wp14:editId="1F2C91F8">
            <wp:simplePos x="0" y="0"/>
            <wp:positionH relativeFrom="column">
              <wp:posOffset>-335915</wp:posOffset>
            </wp:positionH>
            <wp:positionV relativeFrom="paragraph">
              <wp:posOffset>4445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6994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                           </w:t>
      </w:r>
    </w:p>
    <w:p w14:paraId="3F03E600" w14:textId="77777777" w:rsidR="00D97FC3" w:rsidRPr="00036994" w:rsidRDefault="00D97FC3" w:rsidP="00D97FC3">
      <w:pPr>
        <w:spacing w:after="200" w:line="276" w:lineRule="auto"/>
        <w:jc w:val="both"/>
        <w:rPr>
          <w:rFonts w:ascii="Calibri" w:eastAsia="Calibri" w:hAnsi="Calibri" w:cs="Times New Roman"/>
          <w:noProof/>
          <w:lang w:val="ro-RO"/>
        </w:rPr>
      </w:pPr>
    </w:p>
    <w:p w14:paraId="139B6B37" w14:textId="77777777" w:rsidR="00D97FC3" w:rsidRPr="00327BE2" w:rsidRDefault="00D97FC3" w:rsidP="00D97FC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val="ro-RO" w:eastAsia="hi-IN" w:bidi="hi-IN"/>
        </w:rPr>
      </w:pPr>
      <w:r w:rsidRPr="00327BE2"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val="ro-RO" w:eastAsia="hi-IN" w:bidi="hi-IN"/>
        </w:rPr>
        <w:t>MUNICIPIUL TÂRGU MUREŞ</w:t>
      </w:r>
    </w:p>
    <w:p w14:paraId="4C6CCEF5" w14:textId="77777777" w:rsidR="00D97FC3" w:rsidRPr="00327BE2" w:rsidRDefault="00D97FC3" w:rsidP="00D97FC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val="ro-RO" w:eastAsia="hi-IN" w:bidi="hi-IN"/>
        </w:rPr>
      </w:pPr>
      <w:r w:rsidRPr="00327BE2"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val="ro-RO" w:eastAsia="hi-IN" w:bidi="hi-IN"/>
        </w:rPr>
        <w:t>ROMÂNIA – 540026 Târgu Mureş, Piaţa Victoriei nr. 3</w:t>
      </w:r>
    </w:p>
    <w:p w14:paraId="054C6CC4" w14:textId="77777777" w:rsidR="00D97FC3" w:rsidRPr="00327BE2" w:rsidRDefault="00D97FC3" w:rsidP="00D97FC3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val="ro-RO" w:eastAsia="hi-IN" w:bidi="hi-IN"/>
        </w:rPr>
      </w:pPr>
      <w:r w:rsidRPr="00327BE2"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val="ro-RO" w:eastAsia="hi-IN" w:bidi="hi-IN"/>
        </w:rPr>
        <w:t>Tel: 00-40-265-268.330</w:t>
      </w:r>
    </w:p>
    <w:p w14:paraId="5FF553EC" w14:textId="77777777" w:rsidR="00D97FC3" w:rsidRPr="00327BE2" w:rsidRDefault="00D97FC3" w:rsidP="00D97FC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val="ro-RO" w:eastAsia="hi-IN" w:bidi="hi-IN"/>
        </w:rPr>
      </w:pPr>
      <w:r w:rsidRPr="00327BE2"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val="ro-RO" w:eastAsia="hi-IN" w:bidi="hi-IN"/>
        </w:rPr>
        <w:t xml:space="preserve">e-mail: </w:t>
      </w:r>
      <w:hyperlink r:id="rId7" w:history="1">
        <w:r w:rsidRPr="00327BE2">
          <w:rPr>
            <w:rFonts w:ascii="Times New Roman" w:eastAsia="Times New Roman" w:hAnsi="Times New Roman" w:cs="Times New Roman"/>
            <w:b/>
            <w:noProof/>
            <w:color w:val="0000FF"/>
            <w:kern w:val="1"/>
            <w:sz w:val="24"/>
            <w:szCs w:val="24"/>
            <w:u w:val="single"/>
            <w:lang w:val="ro-RO" w:eastAsia="hi-IN" w:bidi="hi-IN"/>
          </w:rPr>
          <w:t>secretar@tirgumures.ro</w:t>
        </w:r>
      </w:hyperlink>
      <w:r w:rsidRPr="00327BE2"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val="ro-RO" w:eastAsia="hi-IN" w:bidi="hi-IN"/>
        </w:rPr>
        <w:t xml:space="preserve"> www.tirgumures.ro </w:t>
      </w:r>
    </w:p>
    <w:p w14:paraId="61A171D4" w14:textId="77777777" w:rsidR="00D97FC3" w:rsidRPr="00327BE2" w:rsidRDefault="00D97FC3" w:rsidP="00D97FC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val="ro-RO" w:eastAsia="hi-IN" w:bidi="hi-IN"/>
        </w:rPr>
      </w:pPr>
    </w:p>
    <w:p w14:paraId="0998BDD7" w14:textId="34C624FC" w:rsidR="00D97FC3" w:rsidRPr="00327BE2" w:rsidRDefault="00D97FC3" w:rsidP="00D97FC3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ro-RO"/>
        </w:rPr>
      </w:pPr>
      <w:r w:rsidRPr="00327BE2"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val="ro-RO" w:eastAsia="hi-IN" w:bidi="hi-IN"/>
        </w:rPr>
        <w:t xml:space="preserve">Nr.  </w:t>
      </w:r>
      <w:r w:rsidR="00E30A9E" w:rsidRPr="00E30A9E"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val="ro-RO" w:eastAsia="hi-IN" w:bidi="hi-IN"/>
        </w:rPr>
        <w:t>43.932 din 14.08.2024</w:t>
      </w:r>
      <w:r w:rsidRPr="00327BE2"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val="ro-RO" w:eastAsia="hi-IN" w:bidi="hi-IN"/>
        </w:rPr>
        <w:tab/>
      </w:r>
      <w:r w:rsidRPr="00327BE2"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val="ro-RO" w:eastAsia="hi-IN" w:bidi="hi-IN"/>
        </w:rPr>
        <w:tab/>
        <w:t xml:space="preserve">      </w:t>
      </w:r>
      <w:r w:rsidRPr="00327BE2">
        <w:rPr>
          <w:rFonts w:ascii="Times New Roman" w:eastAsia="Calibri" w:hAnsi="Times New Roman" w:cs="Times New Roman"/>
          <w:b/>
          <w:noProof/>
          <w:sz w:val="24"/>
          <w:szCs w:val="24"/>
          <w:lang w:val="ro-RO"/>
        </w:rPr>
        <w:t xml:space="preserve">                 </w:t>
      </w:r>
    </w:p>
    <w:p w14:paraId="43B7A331" w14:textId="77777777" w:rsidR="00D97FC3" w:rsidRPr="00327BE2" w:rsidRDefault="00D97FC3" w:rsidP="00D97FC3">
      <w:pPr>
        <w:jc w:val="both"/>
        <w:rPr>
          <w:rFonts w:ascii="Times New Roman" w:hAnsi="Times New Roman" w:cs="Times New Roman"/>
          <w:noProof/>
          <w:lang w:val="ro-RO"/>
        </w:rPr>
      </w:pPr>
    </w:p>
    <w:p w14:paraId="76FC7094" w14:textId="77777777" w:rsidR="00D97FC3" w:rsidRPr="003A02C9" w:rsidRDefault="00D97FC3" w:rsidP="00D97FC3">
      <w:pPr>
        <w:jc w:val="both"/>
        <w:rPr>
          <w:rFonts w:ascii="Times New Roman" w:hAnsi="Times New Roman" w:cs="Times New Roman"/>
          <w:b/>
          <w:bCs/>
          <w:noProof/>
          <w:lang w:val="ro-RO"/>
        </w:rPr>
      </w:pPr>
      <w:r w:rsidRPr="00327BE2">
        <w:rPr>
          <w:rFonts w:ascii="Times New Roman" w:hAnsi="Times New Roman" w:cs="Times New Roman"/>
          <w:noProof/>
          <w:lang w:val="ro-RO"/>
        </w:rPr>
        <w:tab/>
      </w:r>
      <w:r w:rsidRPr="00327BE2">
        <w:rPr>
          <w:rFonts w:ascii="Times New Roman" w:hAnsi="Times New Roman" w:cs="Times New Roman"/>
          <w:noProof/>
          <w:lang w:val="ro-RO"/>
        </w:rPr>
        <w:tab/>
      </w:r>
      <w:r w:rsidRPr="00327BE2">
        <w:rPr>
          <w:rFonts w:ascii="Times New Roman" w:hAnsi="Times New Roman" w:cs="Times New Roman"/>
          <w:noProof/>
          <w:lang w:val="ro-RO"/>
        </w:rPr>
        <w:tab/>
      </w:r>
      <w:r w:rsidRPr="00327BE2">
        <w:rPr>
          <w:rFonts w:ascii="Times New Roman" w:hAnsi="Times New Roman" w:cs="Times New Roman"/>
          <w:noProof/>
          <w:lang w:val="ro-RO"/>
        </w:rPr>
        <w:tab/>
      </w:r>
      <w:r w:rsidRPr="003A02C9">
        <w:rPr>
          <w:rFonts w:ascii="Times New Roman" w:hAnsi="Times New Roman" w:cs="Times New Roman"/>
          <w:b/>
          <w:bCs/>
          <w:noProof/>
          <w:lang w:val="ro-RO"/>
        </w:rPr>
        <w:t xml:space="preserve">              NOTĂ</w:t>
      </w:r>
    </w:p>
    <w:p w14:paraId="20401CE5" w14:textId="3F6D3D77" w:rsidR="00CD75FD" w:rsidRPr="000B4548" w:rsidRDefault="00D97FC3" w:rsidP="00327B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val="ro-RO"/>
        </w:rPr>
      </w:pPr>
      <w:r w:rsidRPr="000B4548">
        <w:rPr>
          <w:rFonts w:ascii="Times New Roman" w:hAnsi="Times New Roman" w:cs="Times New Roman"/>
          <w:bCs/>
          <w:iCs/>
          <w:noProof/>
          <w:spacing w:val="-4"/>
          <w:sz w:val="24"/>
          <w:szCs w:val="24"/>
          <w:lang w:val="ro-RO"/>
        </w:rPr>
        <w:t xml:space="preserve"> </w:t>
      </w:r>
      <w:r w:rsidR="0051312C">
        <w:rPr>
          <w:rFonts w:ascii="Times New Roman" w:hAnsi="Times New Roman" w:cs="Times New Roman"/>
          <w:bCs/>
          <w:iCs/>
          <w:noProof/>
          <w:spacing w:val="-4"/>
          <w:sz w:val="24"/>
          <w:szCs w:val="24"/>
          <w:lang w:val="ro-RO"/>
        </w:rPr>
        <w:t xml:space="preserve"> Cu privire </w:t>
      </w:r>
      <w:r w:rsidRPr="000B4548">
        <w:rPr>
          <w:rFonts w:ascii="Times New Roman" w:hAnsi="Times New Roman" w:cs="Times New Roman"/>
          <w:bCs/>
          <w:iCs/>
          <w:noProof/>
          <w:sz w:val="26"/>
          <w:szCs w:val="26"/>
          <w:lang w:val="ro-RO"/>
        </w:rPr>
        <w:t xml:space="preserve">la proiectul de hotărâre  </w:t>
      </w:r>
      <w:r w:rsidR="00CD75FD" w:rsidRPr="000B4548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val="ro-RO"/>
        </w:rPr>
        <w:t>privind modificarea și completarea art. 4 din H.C.L. nr. 184 din 05 iulie 2024</w:t>
      </w:r>
      <w:bookmarkStart w:id="0" w:name="_Hlk148099500"/>
      <w:r w:rsidR="00327BE2" w:rsidRPr="000B4548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val="ro-RO"/>
        </w:rPr>
        <w:t xml:space="preserve"> </w:t>
      </w:r>
      <w:r w:rsidR="00CD75FD" w:rsidRPr="000B4548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 xml:space="preserve">privind preluarea gratuită, cu titlu definitiv, de către </w:t>
      </w:r>
      <w:bookmarkStart w:id="1" w:name="_Hlk170206608"/>
      <w:r w:rsidR="00CD75FD" w:rsidRPr="000B4548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 xml:space="preserve">CLUBUL SPORTIV MUNICIPAL TÂRGU-MUREȘ, a activității sportive și a locului de participare în competiții, respectiv în CAMPIONATUL NAȚIONAL LIGA 3, începând cu sezonul 2024-2025, a echipei de fotbal  </w:t>
      </w:r>
      <w:bookmarkStart w:id="2" w:name="_Hlk159236866"/>
      <w:r w:rsidR="00CD75FD" w:rsidRPr="000B4548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>ASOCIAȚIA CLUB SPORTIV TÂRGU MUREȘ 1898 – MAROSVÁSÁRHELYI SPORT EGYESÜLET 1898, precum și a tuturor drepturilor federative sportive ale ASOCIAȚIEI CLUB SPORTIV TÂRGU MUREȘ 1898 – MAROSVÁSÁRHELYI SPORT EGYESÜLET 1898</w:t>
      </w:r>
      <w:bookmarkEnd w:id="1"/>
    </w:p>
    <w:bookmarkEnd w:id="0"/>
    <w:bookmarkEnd w:id="2"/>
    <w:p w14:paraId="4D77DF8A" w14:textId="56A12EB8" w:rsidR="00D97FC3" w:rsidRPr="000B4548" w:rsidRDefault="00D97FC3" w:rsidP="00327BE2">
      <w:pPr>
        <w:pStyle w:val="FootnoteText"/>
        <w:ind w:firstLine="1080"/>
        <w:rPr>
          <w:bCs/>
          <w:i/>
          <w:noProof/>
          <w:sz w:val="26"/>
          <w:szCs w:val="26"/>
          <w:u w:val="single"/>
          <w:lang w:val="ro-RO"/>
        </w:rPr>
      </w:pPr>
    </w:p>
    <w:p w14:paraId="0AC7A20E" w14:textId="77777777" w:rsidR="00D97FC3" w:rsidRPr="00327BE2" w:rsidRDefault="00D97FC3" w:rsidP="00327BE2">
      <w:pPr>
        <w:jc w:val="both"/>
        <w:rPr>
          <w:rFonts w:ascii="Times New Roman" w:hAnsi="Times New Roman" w:cs="Times New Roman"/>
          <w:bCs/>
          <w:i/>
          <w:noProof/>
          <w:sz w:val="24"/>
          <w:szCs w:val="24"/>
          <w:lang w:val="ro-RO"/>
        </w:rPr>
      </w:pPr>
    </w:p>
    <w:p w14:paraId="5467AAB0" w14:textId="7B0DE469" w:rsidR="00CD75FD" w:rsidRPr="00327BE2" w:rsidRDefault="00D97FC3" w:rsidP="00CD75FD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</w:pPr>
      <w:r w:rsidRPr="00327BE2">
        <w:rPr>
          <w:rFonts w:ascii="Times New Roman" w:hAnsi="Times New Roman" w:cs="Times New Roman"/>
          <w:bCs/>
          <w:i/>
          <w:noProof/>
          <w:sz w:val="24"/>
          <w:szCs w:val="24"/>
          <w:lang w:val="ro-RO"/>
        </w:rPr>
        <w:tab/>
        <w:t>Secretarul General al Municipiului Târgu Mureș</w:t>
      </w:r>
      <w:r w:rsidRPr="00327BE2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>, văzând</w:t>
      </w:r>
      <w:r w:rsidRPr="00327BE2">
        <w:rPr>
          <w:rFonts w:ascii="Times New Roman" w:hAnsi="Times New Roman" w:cs="Times New Roman"/>
          <w:bCs/>
          <w:i/>
          <w:noProof/>
          <w:sz w:val="24"/>
          <w:szCs w:val="24"/>
          <w:lang w:val="ro-RO"/>
        </w:rPr>
        <w:t xml:space="preserve"> </w:t>
      </w:r>
      <w:r w:rsidRPr="00327BE2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Raportul de specialitate nr</w:t>
      </w:r>
      <w:r w:rsidRPr="00327BE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  <w:t xml:space="preserve">. </w:t>
      </w:r>
      <w:r w:rsidR="00CD75FD" w:rsidRPr="00327BE2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43751</w:t>
      </w:r>
      <w:r w:rsidRPr="00327BE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327BE2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din  </w:t>
      </w:r>
      <w:r w:rsidR="00CD75FD" w:rsidRPr="00327BE2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13</w:t>
      </w:r>
      <w:r w:rsidRPr="00327BE2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.0</w:t>
      </w:r>
      <w:r w:rsidR="00CD75FD" w:rsidRPr="00327BE2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8</w:t>
      </w:r>
      <w:r w:rsidRPr="00327BE2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.2024  al </w:t>
      </w:r>
      <w:r w:rsidRPr="00327BE2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>Direcției Juridice,Contencios Administrativ și Administrație Publică Locală,</w:t>
      </w:r>
      <w:r w:rsidR="00CD75FD" w:rsidRPr="00327BE2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 Raportul de specialitate  </w:t>
      </w:r>
      <w:r w:rsidR="00CD75FD" w:rsidRPr="00327BE2">
        <w:rPr>
          <w:rFonts w:ascii="Times New Roman" w:hAnsi="Times New Roman" w:cs="Times New Roman"/>
          <w:noProof/>
          <w:sz w:val="24"/>
          <w:szCs w:val="24"/>
          <w:lang w:val="ro-RO"/>
        </w:rPr>
        <w:t>emis de către Direcția  Activităţi Social-Culturale Patrimoniale şi Comerciale, Serviciul  Activităţi Culturale, Sportive, Tineret şi Locativ av</w:t>
      </w:r>
      <w:r w:rsidR="0051312C">
        <w:rPr>
          <w:rFonts w:ascii="Times New Roman" w:hAnsi="Times New Roman" w:cs="Times New Roman"/>
          <w:noProof/>
          <w:sz w:val="24"/>
          <w:szCs w:val="24"/>
          <w:lang w:val="ro-RO"/>
        </w:rPr>
        <w:t>â</w:t>
      </w:r>
      <w:r w:rsidR="00CD75FD" w:rsidRPr="00327BE2">
        <w:rPr>
          <w:rFonts w:ascii="Times New Roman" w:hAnsi="Times New Roman" w:cs="Times New Roman"/>
          <w:noProof/>
          <w:sz w:val="24"/>
          <w:szCs w:val="24"/>
          <w:lang w:val="ro-RO"/>
        </w:rPr>
        <w:t>nd nr. 43654/12.08.2024,</w:t>
      </w:r>
      <w:r w:rsidRPr="00327BE2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 precum și dispozițiile legale incidente in materie, constată că nu sunt îndeplinite prevederile legale pentru aplicarea vizei de legalitate motivat de următoarele aspecte:</w:t>
      </w:r>
    </w:p>
    <w:p w14:paraId="782320E8" w14:textId="26C0CAD1" w:rsidR="00CD75FD" w:rsidRPr="0051312C" w:rsidRDefault="00CD75FD" w:rsidP="00071217">
      <w:pPr>
        <w:spacing w:after="0" w:line="240" w:lineRule="auto"/>
        <w:ind w:firstLine="720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327BE2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În baza </w:t>
      </w:r>
      <w:r w:rsidR="00113205" w:rsidRPr="00327BE2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HCL </w:t>
      </w:r>
      <w:r w:rsidRPr="00327BE2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 </w:t>
      </w:r>
      <w:r w:rsidRPr="0051312C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>nr. 184 din 05 iulie 2024</w:t>
      </w:r>
      <w:r w:rsidR="00071217" w:rsidRPr="0051312C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 </w:t>
      </w:r>
      <w:r w:rsidR="00071217" w:rsidRPr="0051312C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s-a aprobat </w:t>
      </w:r>
      <w:r w:rsidRPr="0051312C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preluarea gratuită, cu titlu definitiv, de către CLUBUL SPORTIV MUNICIPAL TÂRGU-MUREȘ, a activității sportive și a locului de participare în competiții, respectiv în CAMPIONATUL NAȚIONAL LIGA 3, începând cu sezonul 2024-2025, a echipei de fotbal  ASOCIAȚIA CLUB SPORTIV TÂRGU MUREȘ 1898 – MAROSVÁSÁRHELYI SPORT EGYESÜLET 1898, precum și a tuturor drepturilor federative sportive ale ASOCIAȚIEI CLUB SPORTIV TÂRGU MUREȘ 1898 – MAROSVÁSÁRHELYI SPORT EGYESÜLET 1898</w:t>
      </w:r>
      <w:r w:rsidR="00071217" w:rsidRPr="0051312C">
        <w:rPr>
          <w:rFonts w:ascii="Times New Roman" w:hAnsi="Times New Roman"/>
          <w:bCs/>
          <w:noProof/>
          <w:sz w:val="24"/>
          <w:szCs w:val="24"/>
          <w:lang w:val="ro-RO"/>
        </w:rPr>
        <w:t>.</w:t>
      </w:r>
    </w:p>
    <w:p w14:paraId="19A7BC7D" w14:textId="2621AC07" w:rsidR="00071217" w:rsidRPr="0051312C" w:rsidRDefault="00071217" w:rsidP="00071217">
      <w:pPr>
        <w:spacing w:after="0" w:line="240" w:lineRule="auto"/>
        <w:ind w:firstLine="720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51312C">
        <w:rPr>
          <w:rFonts w:ascii="Times New Roman" w:hAnsi="Times New Roman"/>
          <w:bCs/>
          <w:noProof/>
          <w:sz w:val="24"/>
          <w:szCs w:val="24"/>
          <w:lang w:val="ro-RO"/>
        </w:rPr>
        <w:t>Hotărârea mai sus arătată, nu a fost contrasemnată de către secretarul general pentru motivele indicate în Nota nr.37553/05.07.2024.</w:t>
      </w:r>
    </w:p>
    <w:p w14:paraId="5798E5B3" w14:textId="2A63CDCB" w:rsidR="00D97FC3" w:rsidRPr="00327BE2" w:rsidRDefault="00071217" w:rsidP="00D97FC3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327BE2">
        <w:rPr>
          <w:rFonts w:ascii="Times New Roman" w:hAnsi="Times New Roman"/>
          <w:b/>
          <w:bCs/>
          <w:noProof/>
          <w:sz w:val="24"/>
          <w:szCs w:val="24"/>
          <w:lang w:val="ro-RO"/>
        </w:rPr>
        <w:tab/>
      </w:r>
    </w:p>
    <w:p w14:paraId="0E8E1A23" w14:textId="32401911" w:rsidR="00D97FC3" w:rsidRPr="000B4548" w:rsidRDefault="00D97FC3" w:rsidP="00D97FC3">
      <w:pPr>
        <w:pStyle w:val="FootnoteText"/>
        <w:rPr>
          <w:bCs/>
          <w:noProof/>
          <w:sz w:val="24"/>
          <w:szCs w:val="24"/>
          <w:lang w:val="ro-RO"/>
        </w:rPr>
      </w:pPr>
      <w:r w:rsidRPr="00327BE2">
        <w:rPr>
          <w:bCs/>
          <w:noProof/>
          <w:sz w:val="26"/>
          <w:szCs w:val="26"/>
          <w:lang w:val="ro-RO"/>
        </w:rPr>
        <w:tab/>
      </w:r>
      <w:r w:rsidRPr="00327BE2">
        <w:rPr>
          <w:bCs/>
          <w:noProof/>
          <w:sz w:val="24"/>
          <w:szCs w:val="24"/>
          <w:lang w:val="ro-RO"/>
        </w:rPr>
        <w:t>Articolul  4  punctul 5   din  Regulamentul de organizare a activității fotbalistice al Federației Române de Fotbal,</w:t>
      </w:r>
      <w:r w:rsidRPr="00327BE2">
        <w:rPr>
          <w:noProof/>
          <w:sz w:val="24"/>
          <w:szCs w:val="24"/>
          <w:lang w:val="ro-RO"/>
        </w:rPr>
        <w:t xml:space="preserve"> adoptat de Comitetul Executiv al FRF în anul  2018, </w:t>
      </w:r>
      <w:r w:rsidR="000B4548">
        <w:rPr>
          <w:bCs/>
          <w:noProof/>
          <w:sz w:val="24"/>
          <w:szCs w:val="24"/>
          <w:lang w:val="ro-RO"/>
        </w:rPr>
        <w:t>prevede faptul că</w:t>
      </w:r>
      <w:r w:rsidRPr="00327BE2">
        <w:rPr>
          <w:bCs/>
          <w:noProof/>
          <w:sz w:val="24"/>
          <w:szCs w:val="24"/>
          <w:lang w:val="ro-RO"/>
        </w:rPr>
        <w:t>:</w:t>
      </w:r>
      <w:r w:rsidRPr="00327BE2">
        <w:rPr>
          <w:i/>
          <w:iCs/>
          <w:noProof/>
          <w:sz w:val="26"/>
          <w:szCs w:val="26"/>
          <w:lang w:val="ro-RO"/>
        </w:rPr>
        <w:t xml:space="preserve"> </w:t>
      </w:r>
      <w:r w:rsidRPr="00327BE2">
        <w:rPr>
          <w:i/>
          <w:iCs/>
          <w:noProof/>
          <w:sz w:val="26"/>
          <w:szCs w:val="26"/>
          <w:u w:val="single"/>
          <w:lang w:val="ro-RO"/>
        </w:rPr>
        <w:t>În orice situaţie, modificarea formei juridice sau a structurii unui club va fi permisă numai dacă se face dovada achitării tuturor obligaţiilor financiare.</w:t>
      </w:r>
      <w:r w:rsidRPr="00327BE2">
        <w:rPr>
          <w:i/>
          <w:iCs/>
          <w:noProof/>
          <w:sz w:val="26"/>
          <w:szCs w:val="26"/>
          <w:lang w:val="ro-RO"/>
        </w:rPr>
        <w:t xml:space="preserve"> </w:t>
      </w:r>
    </w:p>
    <w:p w14:paraId="50CE2626" w14:textId="3D4FB300" w:rsidR="00113205" w:rsidRPr="000B4548" w:rsidRDefault="00D97FC3" w:rsidP="001132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pacing w:val="-2"/>
          <w:sz w:val="26"/>
          <w:szCs w:val="26"/>
          <w:lang w:val="ro-RO"/>
        </w:rPr>
      </w:pPr>
      <w:r w:rsidRPr="00327BE2">
        <w:rPr>
          <w:i/>
          <w:iCs/>
          <w:noProof/>
          <w:sz w:val="26"/>
          <w:szCs w:val="26"/>
          <w:lang w:val="ro-RO"/>
        </w:rPr>
        <w:tab/>
      </w:r>
      <w:r w:rsidR="00113205" w:rsidRPr="00327BE2">
        <w:rPr>
          <w:rFonts w:ascii="Times New Roman" w:eastAsia="Times New Roman" w:hAnsi="Times New Roman" w:cs="Times New Roman"/>
          <w:noProof/>
          <w:spacing w:val="-2"/>
          <w:sz w:val="26"/>
          <w:szCs w:val="26"/>
          <w:lang w:val="ro-RO"/>
        </w:rPr>
        <w:t xml:space="preserve">Prin proiectul de hotărâre se propune </w:t>
      </w:r>
      <w:r w:rsidR="00113205" w:rsidRPr="00327BE2">
        <w:rPr>
          <w:rFonts w:ascii="Times New Roman" w:eastAsia="Times New Roman" w:hAnsi="Times New Roman" w:cs="Times New Roman"/>
          <w:b/>
          <w:noProof/>
          <w:spacing w:val="-2"/>
          <w:sz w:val="26"/>
          <w:szCs w:val="26"/>
          <w:lang w:val="ro-RO"/>
        </w:rPr>
        <w:t xml:space="preserve"> </w:t>
      </w:r>
      <w:r w:rsidR="00113205" w:rsidRPr="000B4548">
        <w:rPr>
          <w:rFonts w:ascii="Times New Roman" w:eastAsia="Times New Roman" w:hAnsi="Times New Roman" w:cs="Times New Roman"/>
          <w:bCs/>
          <w:i/>
          <w:iCs/>
          <w:noProof/>
          <w:spacing w:val="-2"/>
          <w:sz w:val="26"/>
          <w:szCs w:val="26"/>
          <w:u w:val="single"/>
          <w:lang w:val="ro-RO"/>
        </w:rPr>
        <w:t xml:space="preserve">modificarea și completarea art. 4 din HCL nr. 184 din 05 iulie 2024 </w:t>
      </w:r>
      <w:r w:rsidR="00113205" w:rsidRPr="00327BE2">
        <w:rPr>
          <w:rFonts w:ascii="Times New Roman" w:eastAsia="Times New Roman" w:hAnsi="Times New Roman" w:cs="Times New Roman"/>
          <w:bCs/>
          <w:noProof/>
          <w:spacing w:val="-2"/>
          <w:sz w:val="26"/>
          <w:szCs w:val="26"/>
          <w:lang w:val="ro-RO"/>
        </w:rPr>
        <w:t>privind</w:t>
      </w:r>
      <w:r w:rsidR="00113205" w:rsidRPr="00327BE2">
        <w:rPr>
          <w:rFonts w:ascii="Times New Roman" w:eastAsia="Times New Roman" w:hAnsi="Times New Roman" w:cs="Times New Roman"/>
          <w:noProof/>
          <w:spacing w:val="-2"/>
          <w:sz w:val="26"/>
          <w:szCs w:val="26"/>
          <w:lang w:val="ro-RO"/>
        </w:rPr>
        <w:t xml:space="preserve"> </w:t>
      </w:r>
      <w:r w:rsidR="00113205" w:rsidRPr="00327BE2">
        <w:rPr>
          <w:rFonts w:ascii="Times New Roman" w:eastAsia="Times New Roman" w:hAnsi="Times New Roman" w:cs="Times New Roman"/>
          <w:bCs/>
          <w:noProof/>
          <w:spacing w:val="-2"/>
          <w:sz w:val="26"/>
          <w:szCs w:val="26"/>
          <w:lang w:val="ro-RO"/>
        </w:rPr>
        <w:t>preluarea gratuită, cu titlu definitiv, de către Clubul Sportiv Municipal Târgu Mureș, a activității sportive și a locului de participare în competiții, respectiv în Campionatul Național Liga 3, începând cu sezonul 2024 – 2025, a echipei  de fotbal Asociația Club Sportiv Târgu Mureș 1898 – Marosvasarhelyi Sport Egyesulet 1898, precum și a tuturor drepturilor federative sportive ale Asociației Club</w:t>
      </w:r>
      <w:r w:rsidR="00113205" w:rsidRPr="00327BE2">
        <w:rPr>
          <w:rFonts w:ascii="Times New Roman" w:eastAsia="Times New Roman" w:hAnsi="Times New Roman" w:cs="Times New Roman"/>
          <w:b/>
          <w:noProof/>
          <w:spacing w:val="-2"/>
          <w:sz w:val="26"/>
          <w:szCs w:val="26"/>
          <w:lang w:val="ro-RO"/>
        </w:rPr>
        <w:t xml:space="preserve"> </w:t>
      </w:r>
      <w:r w:rsidR="00113205" w:rsidRPr="00327BE2">
        <w:rPr>
          <w:rFonts w:ascii="Times New Roman" w:eastAsia="Times New Roman" w:hAnsi="Times New Roman" w:cs="Times New Roman"/>
          <w:bCs/>
          <w:noProof/>
          <w:spacing w:val="-2"/>
          <w:sz w:val="26"/>
          <w:szCs w:val="26"/>
          <w:lang w:val="ro-RO"/>
        </w:rPr>
        <w:lastRenderedPageBreak/>
        <w:t>Sportiv Târgu Mureș 1898 – Marosvasarhelyi Sport Egyesulet 1898</w:t>
      </w:r>
      <w:r w:rsidR="000B4548">
        <w:rPr>
          <w:rFonts w:ascii="Times New Roman" w:eastAsia="Times New Roman" w:hAnsi="Times New Roman" w:cs="Times New Roman"/>
          <w:bCs/>
          <w:noProof/>
          <w:spacing w:val="-2"/>
          <w:sz w:val="26"/>
          <w:szCs w:val="26"/>
          <w:lang w:val="ro-RO"/>
        </w:rPr>
        <w:t>, asftel:</w:t>
      </w:r>
    </w:p>
    <w:p w14:paraId="310BCDFE" w14:textId="3592E4BC" w:rsidR="00113205" w:rsidRPr="000B4548" w:rsidRDefault="00113205" w:rsidP="000B4548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noProof/>
          <w:sz w:val="26"/>
          <w:szCs w:val="26"/>
          <w:lang w:val="ro-RO"/>
        </w:rPr>
      </w:pPr>
      <w:r w:rsidRPr="00327BE2">
        <w:rPr>
          <w:rFonts w:ascii="Times New Roman" w:eastAsia="Times New Roman" w:hAnsi="Times New Roman" w:cs="Times New Roman"/>
          <w:noProof/>
          <w:spacing w:val="-2"/>
          <w:sz w:val="26"/>
          <w:szCs w:val="26"/>
          <w:lang w:val="ro-RO"/>
        </w:rPr>
        <w:tab/>
      </w:r>
      <w:r w:rsidRPr="00327BE2">
        <w:rPr>
          <w:rFonts w:ascii="Times New Roman" w:eastAsia="Times New Roman" w:hAnsi="Times New Roman" w:cs="Times New Roman"/>
          <w:i/>
          <w:iCs/>
          <w:noProof/>
          <w:spacing w:val="-2"/>
          <w:sz w:val="26"/>
          <w:szCs w:val="26"/>
          <w:lang w:val="ro-RO"/>
        </w:rPr>
        <w:t xml:space="preserve">,, Subscrisa, mandatează /împuternicește pe directorul Clubului Sportiv Municipiul Târgu Mureș – Marosvasarhelyi Varosi Sportklub, </w:t>
      </w:r>
      <w:r w:rsidRPr="00327BE2">
        <w:rPr>
          <w:rFonts w:ascii="Times New Roman" w:eastAsia="Times New Roman" w:hAnsi="Times New Roman" w:cs="Times New Roman"/>
          <w:b/>
          <w:bCs/>
          <w:i/>
          <w:iCs/>
          <w:noProof/>
          <w:spacing w:val="-2"/>
          <w:sz w:val="26"/>
          <w:szCs w:val="26"/>
          <w:u w:val="single"/>
          <w:lang w:val="ro-RO"/>
        </w:rPr>
        <w:t>să își asume obligația de a achita orice debite, indiferent de titlu, trecute, prezente și viitoare și rezultate</w:t>
      </w:r>
      <w:r w:rsidRPr="00327BE2">
        <w:rPr>
          <w:rFonts w:ascii="Times New Roman" w:eastAsia="Times New Roman" w:hAnsi="Times New Roman" w:cs="Times New Roman"/>
          <w:i/>
          <w:iCs/>
          <w:noProof/>
          <w:spacing w:val="-2"/>
          <w:sz w:val="26"/>
          <w:szCs w:val="26"/>
          <w:lang w:val="ro-RO"/>
        </w:rPr>
        <w:t xml:space="preserve"> cel puțin din activitatea fotbalistică (de exemplu, dar nelimitat la: față de sportive, antrenori, personal tehnic și auxiliar, cluburi, asociații sportive , AJF, FRF, LPF, hotărâri FIFA sau TAS). </w:t>
      </w:r>
    </w:p>
    <w:p w14:paraId="2CEA50AE" w14:textId="56209417" w:rsidR="00113205" w:rsidRPr="00327BE2" w:rsidRDefault="00113205" w:rsidP="001132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noProof/>
          <w:sz w:val="26"/>
          <w:szCs w:val="26"/>
          <w:u w:val="single"/>
          <w:lang w:val="ro-RO"/>
        </w:rPr>
      </w:pPr>
      <w:r w:rsidRPr="00327BE2">
        <w:rPr>
          <w:rFonts w:ascii="Times New Roman" w:eastAsia="Calibri" w:hAnsi="Times New Roman" w:cs="Times New Roman"/>
          <w:b/>
          <w:noProof/>
          <w:sz w:val="26"/>
          <w:szCs w:val="26"/>
          <w:lang w:val="ro-RO"/>
        </w:rPr>
        <w:tab/>
      </w:r>
      <w:r w:rsidRPr="00327BE2"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  <w:t xml:space="preserve">Facem precizarea că această modificare și completare (pe lângă faptul că are o exprimare neclară și în dezacord cu normele de tehnică legislativă) nu este conformă prevederilor legale în vigoare, în speță fiind vorba despre </w:t>
      </w:r>
      <w:r w:rsidRPr="00327BE2">
        <w:rPr>
          <w:rFonts w:ascii="Times New Roman" w:eastAsia="Calibri" w:hAnsi="Times New Roman" w:cs="Times New Roman"/>
          <w:b/>
          <w:i/>
          <w:iCs/>
          <w:noProof/>
          <w:sz w:val="26"/>
          <w:szCs w:val="26"/>
          <w:u w:val="single"/>
          <w:lang w:val="ro-RO"/>
        </w:rPr>
        <w:t xml:space="preserve">asumarea unor </w:t>
      </w:r>
      <w:r w:rsidR="00786AEC">
        <w:rPr>
          <w:rFonts w:ascii="Times New Roman" w:eastAsia="Calibri" w:hAnsi="Times New Roman" w:cs="Times New Roman"/>
          <w:b/>
          <w:i/>
          <w:iCs/>
          <w:noProof/>
          <w:sz w:val="26"/>
          <w:szCs w:val="26"/>
          <w:u w:val="single"/>
          <w:lang w:val="ro-RO"/>
        </w:rPr>
        <w:t xml:space="preserve">debite </w:t>
      </w:r>
      <w:r w:rsidRPr="00327BE2">
        <w:rPr>
          <w:rFonts w:ascii="Times New Roman" w:eastAsia="Calibri" w:hAnsi="Times New Roman" w:cs="Times New Roman"/>
          <w:b/>
          <w:i/>
          <w:iCs/>
          <w:noProof/>
          <w:sz w:val="26"/>
          <w:szCs w:val="26"/>
          <w:u w:val="single"/>
          <w:lang w:val="ro-RO"/>
        </w:rPr>
        <w:t>incerte, trecute, prezente și viitoare.</w:t>
      </w:r>
    </w:p>
    <w:p w14:paraId="34260106" w14:textId="0AC9EB2F" w:rsidR="00113205" w:rsidRPr="00DC366E" w:rsidRDefault="00113205" w:rsidP="00DC366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27BE2"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  <w:tab/>
        <w:t xml:space="preserve">Practic, prin adoptarea acestui articol se dispune achitarea unor sume de bani, </w:t>
      </w:r>
      <w:r w:rsidR="000B4548"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  <w:t xml:space="preserve">din bugetul local </w:t>
      </w:r>
      <w:r w:rsidRPr="00327BE2"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  <w:t>fără a fi cunoscute cuantumul acestora</w:t>
      </w:r>
      <w:r w:rsidR="0051312C"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  <w:t>, fiind vorba de bani publici aceștia trebuiesc cheltuiți cu eficiență, dar mai ales</w:t>
      </w:r>
      <w:r w:rsidR="007B4BD5"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  <w:t xml:space="preserve"> </w:t>
      </w:r>
      <w:r w:rsidR="0051312C"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  <w:t xml:space="preserve">cu responsabilitate. </w:t>
      </w:r>
      <w:r w:rsidR="000B4548"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  <w:t>Această modificare contravine prevederilor legale</w:t>
      </w:r>
      <w:r w:rsidR="00144D72"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  <w:t xml:space="preserve"> referitoare la regulile bugetare </w:t>
      </w:r>
      <w:r w:rsidR="000B4548"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  <w:t xml:space="preserve"> </w:t>
      </w:r>
      <w:r w:rsidR="00144D72"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  <w:t xml:space="preserve">cuprinse in articolul 14 din </w:t>
      </w:r>
      <w:r w:rsidR="00144D72" w:rsidRPr="00786AEC">
        <w:rPr>
          <w:rFonts w:ascii="Times New Roman" w:hAnsi="Times New Roman" w:cs="Times New Roman"/>
          <w:sz w:val="24"/>
          <w:szCs w:val="24"/>
          <w:lang w:val="ro-RO"/>
        </w:rPr>
        <w:t xml:space="preserve">Legea    nr. 500/2002 din 11 iulie 2002 privind </w:t>
      </w:r>
      <w:proofErr w:type="spellStart"/>
      <w:r w:rsidR="00144D72" w:rsidRPr="00786AEC">
        <w:rPr>
          <w:rFonts w:ascii="Times New Roman" w:hAnsi="Times New Roman" w:cs="Times New Roman"/>
          <w:sz w:val="24"/>
          <w:szCs w:val="24"/>
          <w:lang w:val="ro-RO"/>
        </w:rPr>
        <w:t>finanţele</w:t>
      </w:r>
      <w:proofErr w:type="spellEnd"/>
      <w:r w:rsidR="00144D72" w:rsidRPr="00786AEC">
        <w:rPr>
          <w:rFonts w:ascii="Times New Roman" w:hAnsi="Times New Roman" w:cs="Times New Roman"/>
          <w:sz w:val="24"/>
          <w:szCs w:val="24"/>
          <w:lang w:val="ro-RO"/>
        </w:rPr>
        <w:t xml:space="preserve"> publice, coroborate cu art.14 din Legea nr</w:t>
      </w:r>
      <w:r w:rsidR="007B4BD5" w:rsidRPr="00786AE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44D72" w:rsidRPr="00144D72">
        <w:rPr>
          <w:rFonts w:ascii="Times New Roman" w:hAnsi="Times New Roman" w:cs="Times New Roman"/>
          <w:sz w:val="28"/>
          <w:szCs w:val="28"/>
          <w:lang w:val="ro-RO"/>
          <w14:ligatures w14:val="standardContextual"/>
        </w:rPr>
        <w:t xml:space="preserve"> </w:t>
      </w:r>
      <w:r w:rsidR="00144D72" w:rsidRPr="00144D72">
        <w:rPr>
          <w:rFonts w:ascii="Times New Roman" w:hAnsi="Times New Roman" w:cs="Times New Roman"/>
          <w:sz w:val="24"/>
          <w:szCs w:val="24"/>
          <w:lang w:val="ro-RO"/>
        </w:rPr>
        <w:t>273/2006 din 29 iunie 2006</w:t>
      </w:r>
      <w:r w:rsidR="00144D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44D72" w:rsidRPr="00144D72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="00144D72" w:rsidRPr="00144D72">
        <w:rPr>
          <w:rFonts w:ascii="Times New Roman" w:hAnsi="Times New Roman" w:cs="Times New Roman"/>
          <w:sz w:val="24"/>
          <w:szCs w:val="24"/>
          <w:lang w:val="ro-RO"/>
        </w:rPr>
        <w:t>finanţele</w:t>
      </w:r>
      <w:proofErr w:type="spellEnd"/>
      <w:r w:rsidR="00144D72" w:rsidRPr="00144D72">
        <w:rPr>
          <w:rFonts w:ascii="Times New Roman" w:hAnsi="Times New Roman" w:cs="Times New Roman"/>
          <w:sz w:val="24"/>
          <w:szCs w:val="24"/>
          <w:lang w:val="ro-RO"/>
        </w:rPr>
        <w:t xml:space="preserve"> publice locale</w:t>
      </w:r>
      <w:r w:rsidR="00DC366E">
        <w:rPr>
          <w:rFonts w:ascii="Times New Roman" w:hAnsi="Times New Roman" w:cs="Times New Roman"/>
          <w:sz w:val="24"/>
          <w:szCs w:val="24"/>
          <w:lang w:val="ro-RO"/>
        </w:rPr>
        <w:t xml:space="preserve">, care statuează faptul că </w:t>
      </w:r>
      <w:r w:rsidR="00DC366E" w:rsidRPr="00DC36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366E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DC366E" w:rsidRPr="00DC366E">
        <w:rPr>
          <w:rFonts w:ascii="Times New Roman" w:hAnsi="Times New Roman" w:cs="Times New Roman"/>
          <w:sz w:val="24"/>
          <w:szCs w:val="24"/>
          <w:lang w:val="ro-RO"/>
        </w:rPr>
        <w:t xml:space="preserve">icio cheltuială din fonduri publice locale nu poate fi angajată, </w:t>
      </w:r>
      <w:proofErr w:type="spellStart"/>
      <w:r w:rsidR="00DC366E" w:rsidRPr="00DC366E">
        <w:rPr>
          <w:rFonts w:ascii="Times New Roman" w:hAnsi="Times New Roman" w:cs="Times New Roman"/>
          <w:sz w:val="24"/>
          <w:szCs w:val="24"/>
          <w:lang w:val="ro-RO"/>
        </w:rPr>
        <w:t>ordonanţată</w:t>
      </w:r>
      <w:proofErr w:type="spellEnd"/>
      <w:r w:rsidR="00DC366E" w:rsidRPr="00DC36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C366E" w:rsidRPr="00DC366E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DC366E" w:rsidRPr="00DC366E">
        <w:rPr>
          <w:rFonts w:ascii="Times New Roman" w:hAnsi="Times New Roman" w:cs="Times New Roman"/>
          <w:sz w:val="24"/>
          <w:szCs w:val="24"/>
          <w:lang w:val="ro-RO"/>
        </w:rPr>
        <w:t xml:space="preserve"> plătită dacă nu este aprobată, potrivit legii, </w:t>
      </w:r>
      <w:proofErr w:type="spellStart"/>
      <w:r w:rsidR="00DC366E" w:rsidRPr="00DC366E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DC366E" w:rsidRPr="00DC366E">
        <w:rPr>
          <w:rFonts w:ascii="Times New Roman" w:hAnsi="Times New Roman" w:cs="Times New Roman"/>
          <w:sz w:val="24"/>
          <w:szCs w:val="24"/>
          <w:lang w:val="ro-RO"/>
        </w:rPr>
        <w:t xml:space="preserve"> dacă nu are prevederi bugetare </w:t>
      </w:r>
      <w:proofErr w:type="spellStart"/>
      <w:r w:rsidR="00DC366E" w:rsidRPr="00DC366E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DC366E" w:rsidRPr="00DC366E">
        <w:rPr>
          <w:rFonts w:ascii="Times New Roman" w:hAnsi="Times New Roman" w:cs="Times New Roman"/>
          <w:sz w:val="24"/>
          <w:szCs w:val="24"/>
          <w:lang w:val="ro-RO"/>
        </w:rPr>
        <w:t xml:space="preserve"> surse de </w:t>
      </w:r>
      <w:proofErr w:type="spellStart"/>
      <w:r w:rsidR="00DC366E" w:rsidRPr="00DC366E">
        <w:rPr>
          <w:rFonts w:ascii="Times New Roman" w:hAnsi="Times New Roman" w:cs="Times New Roman"/>
          <w:sz w:val="24"/>
          <w:szCs w:val="24"/>
          <w:lang w:val="ro-RO"/>
        </w:rPr>
        <w:t>finanţare</w:t>
      </w:r>
      <w:proofErr w:type="spellEnd"/>
      <w:r w:rsidR="00DC366E" w:rsidRPr="00DC366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102068B" w14:textId="6C5531D6" w:rsidR="00113205" w:rsidRPr="00327BE2" w:rsidRDefault="00113205" w:rsidP="00113205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</w:pPr>
      <w:r w:rsidRPr="00327BE2"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  <w:t xml:space="preserve">Mai mult, prevederile modificatoare intră  în contradicție cu Contractul de cesiune care este anexă la HCL nr.184/05.07.2024, în care este prevăzută o clauză contractuală, raportat la prevederile din paragraful anterior. </w:t>
      </w:r>
    </w:p>
    <w:p w14:paraId="6520EF99" w14:textId="70AAC026" w:rsidR="00113205" w:rsidRPr="00327BE2" w:rsidRDefault="00113205" w:rsidP="00327BE2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</w:pPr>
      <w:r w:rsidRPr="00327BE2"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  <w:t>În contractul de cesiune, anexa 1 la</w:t>
      </w:r>
      <w:r w:rsidR="00327BE2" w:rsidRPr="00327BE2"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  <w:t xml:space="preserve"> HCL nr.184/05.07.2024 </w:t>
      </w:r>
      <w:r w:rsidRPr="00327BE2"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  <w:t>la pct. 4 Obligațiile cedentului – pct. 4.2  se stipulează:</w:t>
      </w:r>
    </w:p>
    <w:p w14:paraId="3B94B7DE" w14:textId="77777777" w:rsidR="00113205" w:rsidRPr="00327BE2" w:rsidRDefault="00113205" w:rsidP="001132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6"/>
          <w:szCs w:val="26"/>
          <w:u w:val="single"/>
          <w:lang w:val="ro-RO"/>
        </w:rPr>
      </w:pPr>
      <w:r w:rsidRPr="00327BE2">
        <w:rPr>
          <w:rFonts w:ascii="Times New Roman" w:eastAsia="Calibri" w:hAnsi="Times New Roman" w:cs="Times New Roman"/>
          <w:b/>
          <w:noProof/>
          <w:sz w:val="26"/>
          <w:szCs w:val="26"/>
          <w:lang w:val="ro-RO"/>
        </w:rPr>
        <w:tab/>
      </w:r>
      <w:r w:rsidRPr="00327BE2">
        <w:rPr>
          <w:rFonts w:ascii="Times New Roman" w:eastAsia="Calibri" w:hAnsi="Times New Roman" w:cs="Times New Roman"/>
          <w:b/>
          <w:i/>
          <w:iCs/>
          <w:noProof/>
          <w:sz w:val="26"/>
          <w:szCs w:val="26"/>
          <w:lang w:val="ro-RO"/>
        </w:rPr>
        <w:t xml:space="preserve">,, Cedentul se obligă să achite toate datoriile sportive, administrative și funcționale pe care le are, înainte de semnarea contractului. </w:t>
      </w:r>
      <w:r w:rsidRPr="00327BE2">
        <w:rPr>
          <w:rFonts w:ascii="Times New Roman" w:eastAsia="Calibri" w:hAnsi="Times New Roman" w:cs="Times New Roman"/>
          <w:b/>
          <w:noProof/>
          <w:sz w:val="26"/>
          <w:szCs w:val="26"/>
          <w:u w:val="single"/>
          <w:lang w:val="ro-RO"/>
        </w:rPr>
        <w:t>Cesionarul nu va putea fi tras la răspundere pentru datoriile acumulate de către cedent, acesta din urmă fiind obligat să își îndeplinească obligațiile și după semnarea contractului de cesiune.,,</w:t>
      </w:r>
    </w:p>
    <w:p w14:paraId="5F7C9611" w14:textId="29C94B8B" w:rsidR="00D97FC3" w:rsidRPr="00327BE2" w:rsidRDefault="00113205" w:rsidP="001132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</w:pPr>
      <w:r w:rsidRPr="00327BE2"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  <w:t xml:space="preserve">  </w:t>
      </w:r>
      <w:r w:rsidR="00327BE2" w:rsidRPr="00327BE2">
        <w:rPr>
          <w:rFonts w:ascii="Times New Roman" w:eastAsia="Calibri" w:hAnsi="Times New Roman" w:cs="Times New Roman"/>
          <w:bCs/>
          <w:noProof/>
          <w:sz w:val="26"/>
          <w:szCs w:val="26"/>
          <w:lang w:val="ro-RO"/>
        </w:rPr>
        <w:tab/>
        <w:t>Prin urmare, modificarea propusă este  contrară prevederilor art.4.2 din Contractul de cesiune,  anexă la HCL nr.184/05.07.2024.</w:t>
      </w:r>
    </w:p>
    <w:p w14:paraId="45AD73F9" w14:textId="66F0E1A7" w:rsidR="00327BE2" w:rsidRPr="00327BE2" w:rsidRDefault="00D97FC3" w:rsidP="00327BE2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327BE2">
        <w:rPr>
          <w:rFonts w:ascii="Times New Roman" w:hAnsi="Times New Roman" w:cs="Times New Roman"/>
          <w:bCs/>
          <w:noProof/>
          <w:sz w:val="26"/>
          <w:szCs w:val="26"/>
          <w:lang w:val="ro-RO"/>
        </w:rPr>
        <w:t xml:space="preserve"> </w:t>
      </w:r>
      <w:r w:rsidR="00327BE2" w:rsidRPr="00327BE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Secretarul  General al Municipiului Târgu Mureș, având în vedere considerentele mai sus precizate și prevederile legale enunțate, în conformitate cu dispozițiile art.140, art.490 din OUG nr.57/2019 privind Codul administrativ, cu modificările și completările  ulterioare, constată că nu se poate aviza pentru legalitate proiectul </w:t>
      </w:r>
      <w:r w:rsidR="007B4BD5">
        <w:rPr>
          <w:rFonts w:ascii="Times New Roman" w:hAnsi="Times New Roman" w:cs="Times New Roman"/>
          <w:noProof/>
          <w:sz w:val="24"/>
          <w:szCs w:val="24"/>
          <w:lang w:val="ro-RO"/>
        </w:rPr>
        <w:t>de hotărâre.</w:t>
      </w:r>
    </w:p>
    <w:p w14:paraId="2A46E635" w14:textId="77777777" w:rsidR="00327BE2" w:rsidRPr="00327BE2" w:rsidRDefault="00327BE2" w:rsidP="00327BE2">
      <w:pPr>
        <w:ind w:firstLine="708"/>
        <w:jc w:val="both"/>
        <w:rPr>
          <w:noProof/>
          <w:sz w:val="24"/>
          <w:szCs w:val="24"/>
          <w:lang w:val="ro-RO"/>
        </w:rPr>
      </w:pPr>
      <w:r w:rsidRPr="00327BE2">
        <w:rPr>
          <w:rFonts w:ascii="Times New Roman" w:hAnsi="Times New Roman" w:cs="Times New Roman"/>
          <w:noProof/>
          <w:sz w:val="24"/>
          <w:szCs w:val="24"/>
          <w:lang w:val="ro-RO"/>
        </w:rPr>
        <w:t>Prezenta Notă a fost înregistrată în Registrul special conform art.197 alin.3 din OUG nr.572019 privind Codul administrativ, cu modificările  și completărioare ulterioare.</w:t>
      </w:r>
    </w:p>
    <w:p w14:paraId="7CFA556B" w14:textId="77777777" w:rsidR="00327BE2" w:rsidRPr="00327BE2" w:rsidRDefault="00327BE2" w:rsidP="00327BE2">
      <w:pPr>
        <w:tabs>
          <w:tab w:val="left" w:pos="234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</w:pPr>
    </w:p>
    <w:p w14:paraId="2AABE5BB" w14:textId="77777777" w:rsidR="00327BE2" w:rsidRPr="00327BE2" w:rsidRDefault="00327BE2" w:rsidP="00327BE2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327BE2">
        <w:rPr>
          <w:rFonts w:ascii="Times New Roman" w:hAnsi="Times New Roman" w:cs="Times New Roman"/>
          <w:noProof/>
          <w:sz w:val="28"/>
          <w:szCs w:val="28"/>
          <w:lang w:val="ro-RO"/>
        </w:rPr>
        <w:t>Secretar General,</w:t>
      </w:r>
    </w:p>
    <w:p w14:paraId="1F98F427" w14:textId="77777777" w:rsidR="00327BE2" w:rsidRPr="00327BE2" w:rsidRDefault="00327BE2" w:rsidP="00327BE2">
      <w:pPr>
        <w:jc w:val="center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327BE2">
        <w:rPr>
          <w:rFonts w:ascii="Times New Roman" w:hAnsi="Times New Roman" w:cs="Times New Roman"/>
          <w:noProof/>
          <w:sz w:val="28"/>
          <w:szCs w:val="28"/>
          <w:lang w:val="ro-RO"/>
        </w:rPr>
        <w:t>Bordi Kinga</w:t>
      </w:r>
    </w:p>
    <w:p w14:paraId="15D08431" w14:textId="49DB3F01" w:rsidR="00D97FC3" w:rsidRPr="00327BE2" w:rsidRDefault="00D97FC3" w:rsidP="00327BE2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noProof/>
          <w:sz w:val="26"/>
          <w:szCs w:val="26"/>
          <w:lang w:val="ro-RO"/>
        </w:rPr>
      </w:pPr>
    </w:p>
    <w:p w14:paraId="67F51C53" w14:textId="77777777" w:rsidR="00D97FC3" w:rsidRPr="00327BE2" w:rsidRDefault="00D97FC3" w:rsidP="00D97FC3">
      <w:pPr>
        <w:jc w:val="center"/>
        <w:rPr>
          <w:rFonts w:ascii="Times New Roman" w:hAnsi="Times New Roman" w:cs="Times New Roman"/>
          <w:noProof/>
          <w:lang w:val="ro-RO"/>
        </w:rPr>
      </w:pPr>
    </w:p>
    <w:p w14:paraId="414C96A9" w14:textId="77777777" w:rsidR="00D97FC3" w:rsidRPr="00327BE2" w:rsidRDefault="00D97FC3" w:rsidP="00D97FC3">
      <w:pPr>
        <w:jc w:val="both"/>
        <w:rPr>
          <w:bCs/>
          <w:i/>
          <w:noProof/>
          <w:lang w:val="ro-RO"/>
        </w:rPr>
      </w:pPr>
    </w:p>
    <w:p w14:paraId="323CAA8F" w14:textId="77777777" w:rsidR="00D97FC3" w:rsidRPr="00327BE2" w:rsidRDefault="00D97FC3" w:rsidP="00D97FC3">
      <w:pPr>
        <w:rPr>
          <w:noProof/>
          <w:lang w:val="ro-RO"/>
        </w:rPr>
      </w:pPr>
    </w:p>
    <w:p w14:paraId="332C6191" w14:textId="77777777" w:rsidR="007525BF" w:rsidRPr="00327BE2" w:rsidRDefault="007525BF">
      <w:pPr>
        <w:rPr>
          <w:noProof/>
          <w:lang w:val="ro-RO"/>
        </w:rPr>
      </w:pPr>
    </w:p>
    <w:sectPr w:rsidR="007525BF" w:rsidRPr="00327BE2" w:rsidSect="00D97FC3">
      <w:footerReference w:type="default" r:id="rId8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80F44" w14:textId="77777777" w:rsidR="00670435" w:rsidRDefault="00670435">
      <w:pPr>
        <w:spacing w:after="0" w:line="240" w:lineRule="auto"/>
      </w:pPr>
      <w:r>
        <w:separator/>
      </w:r>
    </w:p>
  </w:endnote>
  <w:endnote w:type="continuationSeparator" w:id="0">
    <w:p w14:paraId="0E3A03BC" w14:textId="77777777" w:rsidR="00670435" w:rsidRDefault="00670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7655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8A1F3" w14:textId="77777777" w:rsidR="00656F0F" w:rsidRDefault="003A02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99AC5C" w14:textId="77777777" w:rsidR="00656F0F" w:rsidRDefault="00656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34317" w14:textId="77777777" w:rsidR="00670435" w:rsidRDefault="00670435">
      <w:pPr>
        <w:spacing w:after="0" w:line="240" w:lineRule="auto"/>
      </w:pPr>
      <w:r>
        <w:separator/>
      </w:r>
    </w:p>
  </w:footnote>
  <w:footnote w:type="continuationSeparator" w:id="0">
    <w:p w14:paraId="1CC69B6B" w14:textId="77777777" w:rsidR="00670435" w:rsidRDefault="00670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C3"/>
    <w:rsid w:val="00071217"/>
    <w:rsid w:val="000B4548"/>
    <w:rsid w:val="00113205"/>
    <w:rsid w:val="00144D72"/>
    <w:rsid w:val="002F0C60"/>
    <w:rsid w:val="00327BE2"/>
    <w:rsid w:val="003A02C9"/>
    <w:rsid w:val="00491D4B"/>
    <w:rsid w:val="0051312C"/>
    <w:rsid w:val="00656F0F"/>
    <w:rsid w:val="00670435"/>
    <w:rsid w:val="00713AA3"/>
    <w:rsid w:val="007525BF"/>
    <w:rsid w:val="00786AEC"/>
    <w:rsid w:val="007B4BD5"/>
    <w:rsid w:val="009821D1"/>
    <w:rsid w:val="00C07940"/>
    <w:rsid w:val="00CD3027"/>
    <w:rsid w:val="00CD75FD"/>
    <w:rsid w:val="00D97FC3"/>
    <w:rsid w:val="00DC366E"/>
    <w:rsid w:val="00DE489F"/>
    <w:rsid w:val="00E30A9E"/>
    <w:rsid w:val="00EE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D7AA"/>
  <w15:chartTrackingRefBased/>
  <w15:docId w15:val="{D7B350B0-3690-453E-B3C2-812850ED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C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7F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FC3"/>
    <w:rPr>
      <w:kern w:val="0"/>
      <w14:ligatures w14:val="none"/>
    </w:rPr>
  </w:style>
  <w:style w:type="paragraph" w:styleId="FootnoteText">
    <w:name w:val="footnote text"/>
    <w:basedOn w:val="Normal"/>
    <w:link w:val="FootnoteTextChar"/>
    <w:unhideWhenUsed/>
    <w:rsid w:val="00D97FC3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D97FC3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cretar@tirgumure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4</cp:revision>
  <cp:lastPrinted>2024-08-14T05:19:00Z</cp:lastPrinted>
  <dcterms:created xsi:type="dcterms:W3CDTF">2024-08-14T05:36:00Z</dcterms:created>
  <dcterms:modified xsi:type="dcterms:W3CDTF">2024-08-14T06:01:00Z</dcterms:modified>
</cp:coreProperties>
</file>