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A5152" w14:textId="77777777" w:rsidR="006E677F" w:rsidRPr="002E17AC" w:rsidRDefault="006E677F" w:rsidP="006E677F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67E6FE3" w14:textId="77777777" w:rsidR="006E677F" w:rsidRPr="002E17AC" w:rsidRDefault="006E677F" w:rsidP="006E677F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</w:p>
    <w:p w14:paraId="2B971AAD" w14:textId="77777777" w:rsidR="006E677F" w:rsidRPr="002E17AC" w:rsidRDefault="006E677F" w:rsidP="006E677F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</w:p>
    <w:p w14:paraId="5EE73610" w14:textId="77777777" w:rsidR="006E677F" w:rsidRPr="002E17AC" w:rsidRDefault="006E677F" w:rsidP="006E677F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1" w:name="_Hlk17368296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Direcția  D.P.F.I.R.U.R.P.L, SPFI                                                     </w:t>
      </w:r>
      <w:bookmarkEnd w:id="1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6711EE22" w14:textId="38BCF0D1" w:rsidR="006E677F" w:rsidRPr="002E17AC" w:rsidRDefault="006E677F" w:rsidP="006E677F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r w:rsidR="009F76DC"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bookmarkStart w:id="2" w:name="_Hlk213746336"/>
      <w:r w:rsidR="00927884" w:rsidRPr="00927884">
        <w:rPr>
          <w:rFonts w:ascii="Times New Roman" w:eastAsia="Times New Roman" w:hAnsi="Times New Roman"/>
          <w:b/>
          <w:bCs/>
          <w:noProof/>
          <w:sz w:val="24"/>
          <w:szCs w:val="24"/>
        </w:rPr>
        <w:t>56358</w:t>
      </w:r>
      <w:r w:rsidR="00927884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din</w:t>
      </w:r>
      <w:r w:rsidR="00927884" w:rsidRPr="00927884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10.11.2025</w:t>
      </w:r>
      <w:bookmarkEnd w:id="2"/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35E984E4" w14:textId="77777777" w:rsidR="006E677F" w:rsidRPr="002E17AC" w:rsidRDefault="006E677F" w:rsidP="006E677F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8B18A37" w14:textId="77777777" w:rsidR="006E677F" w:rsidRDefault="006E677F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</w:p>
    <w:p w14:paraId="2E104C07" w14:textId="77777777" w:rsidR="006E677F" w:rsidRPr="008822B1" w:rsidRDefault="006E677F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822B1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490443DE" w14:textId="4C9991C2" w:rsidR="009F76DC" w:rsidRPr="009F76DC" w:rsidRDefault="006E677F" w:rsidP="009F76DC">
      <w:pPr>
        <w:spacing w:after="0" w:line="240" w:lineRule="auto"/>
        <w:jc w:val="center"/>
        <w:rPr>
          <w:rFonts w:ascii="Times New Roman" w:hAnsi="Times New Roman"/>
          <w:bCs/>
          <w:lang w:eastAsia="ro-RO"/>
        </w:rPr>
      </w:pPr>
      <w:bookmarkStart w:id="3" w:name="_Hlk213663592"/>
      <w:bookmarkStart w:id="4" w:name="_Hlk14186173"/>
      <w:r w:rsidRPr="004C7623">
        <w:rPr>
          <w:rFonts w:ascii="Times New Roman" w:hAnsi="Times New Roman"/>
          <w:w w:val="95"/>
          <w:sz w:val="24"/>
          <w:szCs w:val="24"/>
        </w:rPr>
        <w:t xml:space="preserve">privind </w:t>
      </w:r>
      <w:r w:rsidRPr="001E0EC5">
        <w:rPr>
          <w:rFonts w:ascii="Times New Roman" w:hAnsi="Times New Roman"/>
          <w:bCs/>
          <w:lang w:eastAsia="ro-RO"/>
        </w:rPr>
        <w:t xml:space="preserve">aprobarea </w:t>
      </w:r>
      <w:r w:rsidR="009F76DC" w:rsidRPr="009F76DC">
        <w:rPr>
          <w:rFonts w:ascii="Times New Roman" w:hAnsi="Times New Roman"/>
          <w:b/>
          <w:bCs/>
          <w:iCs/>
          <w:lang w:eastAsia="ro-RO"/>
        </w:rPr>
        <w:t>modificării Art.3. din HCL nr.</w:t>
      </w:r>
      <w:r w:rsidRPr="001E0EC5">
        <w:rPr>
          <w:rFonts w:ascii="Times New Roman" w:hAnsi="Times New Roman"/>
          <w:bCs/>
          <w:lang w:eastAsia="ro-RO"/>
        </w:rPr>
        <w:t xml:space="preserve"> </w:t>
      </w:r>
      <w:r w:rsidR="009F76DC" w:rsidRPr="009F76DC">
        <w:rPr>
          <w:rFonts w:ascii="Times New Roman" w:hAnsi="Times New Roman"/>
          <w:b/>
          <w:lang w:eastAsia="ro-RO"/>
        </w:rPr>
        <w:t>100 din 30.03.2023 privind aprobarea</w:t>
      </w:r>
      <w:r w:rsidR="009F76DC">
        <w:rPr>
          <w:rFonts w:ascii="Times New Roman" w:hAnsi="Times New Roman"/>
          <w:bCs/>
          <w:lang w:eastAsia="ro-RO"/>
        </w:rPr>
        <w:t xml:space="preserve"> proiectului </w:t>
      </w:r>
      <w:r w:rsidRPr="00CB2BEC">
        <w:rPr>
          <w:rFonts w:ascii="Times New Roman" w:hAnsi="Times New Roman"/>
          <w:b/>
        </w:rPr>
        <w:t>„</w:t>
      </w:r>
      <w:bookmarkStart w:id="5" w:name="_Hlk129711300"/>
      <w:r w:rsidRPr="00CB2BEC">
        <w:rPr>
          <w:rFonts w:ascii="Times New Roman" w:hAnsi="Times New Roman"/>
          <w:b/>
        </w:rPr>
        <w:t xml:space="preserve">Dotarea cu mobilier, materiale didactice și echipamente digitale </w:t>
      </w:r>
    </w:p>
    <w:p w14:paraId="74525FDA" w14:textId="3A79AB13" w:rsidR="009F76DC" w:rsidRDefault="006E677F" w:rsidP="006E677F">
      <w:pPr>
        <w:spacing w:after="0" w:line="240" w:lineRule="auto"/>
        <w:jc w:val="center"/>
        <w:rPr>
          <w:rFonts w:ascii="Times New Roman" w:hAnsi="Times New Roman"/>
          <w:bCs/>
        </w:rPr>
      </w:pPr>
      <w:r w:rsidRPr="00CB2BEC">
        <w:rPr>
          <w:rFonts w:ascii="Times New Roman" w:hAnsi="Times New Roman"/>
          <w:b/>
        </w:rPr>
        <w:t xml:space="preserve">a unităților de învățământ preuniversitar </w:t>
      </w:r>
      <w:r w:rsidR="00CB2BEC" w:rsidRPr="00CB2BEC">
        <w:rPr>
          <w:rFonts w:ascii="Times New Roman" w:hAnsi="Times New Roman"/>
          <w:b/>
        </w:rPr>
        <w:t xml:space="preserve"> din </w:t>
      </w:r>
      <w:r w:rsidRPr="00CB2BEC">
        <w:rPr>
          <w:rFonts w:ascii="Times New Roman" w:hAnsi="Times New Roman"/>
          <w:b/>
        </w:rPr>
        <w:t>municipiul Târgu</w:t>
      </w:r>
      <w:r w:rsidR="00CB2BEC">
        <w:rPr>
          <w:rFonts w:ascii="Times New Roman" w:hAnsi="Times New Roman"/>
          <w:b/>
        </w:rPr>
        <w:t xml:space="preserve"> </w:t>
      </w:r>
      <w:r w:rsidRPr="00CB2BEC">
        <w:rPr>
          <w:rFonts w:ascii="Times New Roman" w:hAnsi="Times New Roman"/>
          <w:b/>
        </w:rPr>
        <w:t>Mureș</w:t>
      </w:r>
      <w:bookmarkEnd w:id="5"/>
      <w:r w:rsidRPr="00CB2BEC">
        <w:rPr>
          <w:rFonts w:ascii="Times New Roman" w:hAnsi="Times New Roman"/>
          <w:b/>
        </w:rPr>
        <w:t>”</w:t>
      </w:r>
      <w:r w:rsidR="00CB2BEC">
        <w:rPr>
          <w:rFonts w:ascii="Times New Roman" w:hAnsi="Times New Roman"/>
          <w:bCs/>
        </w:rPr>
        <w:t xml:space="preserve"> </w:t>
      </w:r>
    </w:p>
    <w:p w14:paraId="65C68030" w14:textId="3EFC68EF" w:rsidR="006E677F" w:rsidRPr="001E0EC5" w:rsidRDefault="00CB2BEC" w:rsidP="006E677F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663326">
        <w:rPr>
          <w:rFonts w:ascii="Times New Roman" w:hAnsi="Times New Roman"/>
          <w:w w:val="95"/>
        </w:rPr>
        <w:t>in</w:t>
      </w:r>
      <w:r w:rsidRPr="00663326">
        <w:rPr>
          <w:rFonts w:ascii="Times New Roman" w:hAnsi="Times New Roman"/>
          <w:spacing w:val="7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cadrul</w:t>
      </w:r>
      <w:r w:rsidRPr="00663326">
        <w:rPr>
          <w:rFonts w:ascii="Times New Roman" w:hAnsi="Times New Roman"/>
          <w:spacing w:val="34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apelurilor</w:t>
      </w:r>
      <w:r w:rsidRPr="00663326">
        <w:rPr>
          <w:rFonts w:ascii="Times New Roman" w:hAnsi="Times New Roman"/>
          <w:spacing w:val="26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de</w:t>
      </w:r>
      <w:r w:rsidRPr="00663326">
        <w:rPr>
          <w:rFonts w:ascii="Times New Roman" w:hAnsi="Times New Roman"/>
          <w:spacing w:val="18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proiecte</w:t>
      </w:r>
      <w:r w:rsidRPr="00663326">
        <w:rPr>
          <w:rFonts w:ascii="Times New Roman" w:hAnsi="Times New Roman"/>
          <w:spacing w:val="24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cu</w:t>
      </w:r>
      <w:r w:rsidRPr="00663326">
        <w:rPr>
          <w:rFonts w:ascii="Times New Roman" w:hAnsi="Times New Roman"/>
          <w:spacing w:val="22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titlul</w:t>
      </w:r>
      <w:r w:rsidRPr="00663326">
        <w:rPr>
          <w:rFonts w:ascii="Times New Roman" w:hAnsi="Times New Roman"/>
          <w:spacing w:val="1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 xml:space="preserve"> </w:t>
      </w:r>
      <w:r w:rsidRPr="00663326">
        <w:rPr>
          <w:rFonts w:ascii="Times New Roman" w:eastAsia="Times New Roman" w:hAnsi="Times New Roman"/>
          <w:lang w:eastAsia="ro-RO"/>
        </w:rPr>
        <w:t>PNRR/2022/C15/MEDU/I9./I11./I13./I14</w:t>
      </w:r>
      <w:r>
        <w:rPr>
          <w:rFonts w:ascii="Times New Roman" w:eastAsia="Times New Roman" w:hAnsi="Times New Roman"/>
          <w:lang w:eastAsia="ro-RO"/>
        </w:rPr>
        <w:t xml:space="preserve"> -</w:t>
      </w:r>
      <w:r w:rsidRPr="00663326">
        <w:rPr>
          <w:rFonts w:ascii="Times New Roman" w:eastAsia="Times New Roman" w:hAnsi="Times New Roman"/>
          <w:lang w:eastAsia="ro-RO"/>
        </w:rPr>
        <w:t>Dotarea cu mobilier, materiale didactice și echipamente digitale a unităților de învățământ preuniversitar și a unităților conexe</w:t>
      </w:r>
    </w:p>
    <w:bookmarkEnd w:id="3"/>
    <w:p w14:paraId="60C36FCF" w14:textId="6431BF1B" w:rsidR="006E677F" w:rsidRDefault="006E677F" w:rsidP="006E677F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637D61AC" w14:textId="77777777" w:rsidR="001D3B15" w:rsidRPr="00FC6409" w:rsidRDefault="001D3B15" w:rsidP="006E677F">
      <w:pPr>
        <w:spacing w:after="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2FA1FFF9" w14:textId="01474591" w:rsidR="00FB1BF4" w:rsidRDefault="00FB1BF4" w:rsidP="007330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</w:pP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Municipiul Târgu Mureș </w:t>
      </w:r>
      <w:r w:rsidR="0088600F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are în implementare </w:t>
      </w: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proiectul </w:t>
      </w: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,,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Dotarea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cu mobilier,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materiale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didactice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și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echipamente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digitale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unităților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învățământ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preuniversitar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municipiul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Târgu-Mureș”</w:t>
      </w:r>
      <w:r w:rsidRPr="00FB1BF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, </w:t>
      </w: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finanțat prin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Mecanismul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Redresare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și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Reziliență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PNRR/2022/C15/MEDU/l9/I11/I13/I14</w:t>
      </w:r>
      <w:r w:rsidR="0088600F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600F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în</w:t>
      </w:r>
      <w:proofErr w:type="spellEnd"/>
      <w:r w:rsidR="0088600F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8600F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baza</w:t>
      </w:r>
      <w:proofErr w:type="spellEnd"/>
      <w:r w:rsidR="0088600F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r w:rsidR="0088600F"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Contractul</w:t>
      </w:r>
      <w:r w:rsidR="0088600F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ui</w:t>
      </w:r>
      <w:r w:rsidR="0088600F"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 xml:space="preserve"> de finanțare nr. 110DOT/2023 </w:t>
      </w:r>
      <w:r w:rsidR="0088600F"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modificat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prin</w:t>
      </w:r>
      <w:proofErr w:type="spell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AA nr. 1/30.07.</w:t>
      </w:r>
      <w:proofErr w:type="gramStart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2024 ,</w:t>
      </w:r>
      <w:proofErr w:type="gramEnd"/>
      <w:r w:rsidRPr="00FB1BF4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AA nr.2/16.09.2024, AA nr. 3/25.02.2025, AA nr. 4/29.07.2025.</w:t>
      </w:r>
    </w:p>
    <w:p w14:paraId="74E5BD42" w14:textId="77777777" w:rsidR="00FB1BF4" w:rsidRPr="00FB1BF4" w:rsidRDefault="00FB1BF4" w:rsidP="008860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Obiectivul general al PNRR este atins prin Componenta C15: </w:t>
      </w:r>
    </w:p>
    <w:p w14:paraId="2C9A89F5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</w:pP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Creșterea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capacității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de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reziliență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a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sistemului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educațional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prin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modernizarea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infrastructurii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educaționale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și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a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dotării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aferente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în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corelare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cu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nevoile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prezente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și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viitoare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ale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pieței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forței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de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muncă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în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vederea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asigurării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participării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la un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proces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educațional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de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calitate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, modern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și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incluziv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  <w:lang w:val="en-AU"/>
        </w:rPr>
        <w:t>.</w:t>
      </w:r>
    </w:p>
    <w:p w14:paraId="3FAB54F2" w14:textId="77777777" w:rsidR="00FB1BF4" w:rsidRPr="00FB1BF4" w:rsidRDefault="00FB1BF4" w:rsidP="007330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>Prin  proiect se propune:</w:t>
      </w:r>
    </w:p>
    <w:p w14:paraId="2AE692B2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</w:pP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dotarea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cu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echipamente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TIC  a 6 LABORATOARE INFORMATICĂ DIN REȚEAUA IPT  </w:t>
      </w:r>
    </w:p>
    <w:p w14:paraId="6A9674C7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- dotarea cu mobilier, materiale și echipamente de specialitate a 7 ATELIERE DE PRACTICĂ IPT  </w:t>
      </w:r>
    </w:p>
    <w:p w14:paraId="290AE663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- dotarea cu echipamente TIC laborator informatică  – 18 laboratoare </w:t>
      </w:r>
    </w:p>
    <w:p w14:paraId="2235339E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- dotarea cu echipamente TIC laborator informatică  preșcolar (grădinițe) – 1 laborator </w:t>
      </w:r>
    </w:p>
    <w:p w14:paraId="6E09EB18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- dotarea cu echipamente TIC săli de clase existente  - 792 săli de clasă </w:t>
      </w:r>
    </w:p>
    <w:p w14:paraId="0D8CE87D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- dotarea cu mobilier și materiale didactice săli de clase existente  - 614 săli din care 597 Sali de clase si 17 Sali de laboratoare de informatica </w:t>
      </w:r>
    </w:p>
    <w:p w14:paraId="71BFC51F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- dotarea cu mobilier, materiale didactice și echipament digital laborator de științe – 19 LABORATOARE ȘTIINȚE</w:t>
      </w:r>
    </w:p>
    <w:p w14:paraId="64FA1B90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- dotarea cu mobilier, materiale didactice și echipament digital cabinete școlare – 17 CABINETE ȘCOLARE</w:t>
      </w:r>
    </w:p>
    <w:p w14:paraId="6A005354" w14:textId="77777777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- dotarea cu mobilier, materiale didactice și echipament digital cabinete școlare – 25 CABINET DE CONSILIERE</w:t>
      </w:r>
    </w:p>
    <w:p w14:paraId="21ADCB22" w14:textId="3023F8BF" w:rsidR="00FB1BF4" w:rsidRPr="00FB1BF4" w:rsidRDefault="00FB1BF4" w:rsidP="00FB1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</w:pPr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- dotarea cu echipamente si materiale didactice cabinete școlare – 23 </w:t>
      </w:r>
      <w:proofErr w:type="spellStart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>sali</w:t>
      </w:r>
      <w:proofErr w:type="spellEnd"/>
      <w:r w:rsidRPr="00FB1BF4">
        <w:rPr>
          <w:rFonts w:ascii="Times New Roman" w:eastAsiaTheme="minorHAnsi" w:hAnsi="Times New Roman"/>
          <w:i/>
          <w:iCs/>
          <w:color w:val="000000" w:themeColor="text1"/>
          <w:sz w:val="24"/>
          <w:szCs w:val="24"/>
        </w:rPr>
        <w:t xml:space="preserve"> sport.</w:t>
      </w:r>
    </w:p>
    <w:p w14:paraId="4D79F1C3" w14:textId="73E65CC3" w:rsidR="00FB1BF4" w:rsidRPr="00FB1BF4" w:rsidRDefault="00FB1BF4" w:rsidP="007330D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</w:pP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Prin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proiect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se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dorește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dotarea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cu mobilier,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materiale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didactice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și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echipamente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digitale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a</w:t>
      </w:r>
      <w:r w:rsidR="007330DE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32</w:t>
      </w: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proofErr w:type="gram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unități</w:t>
      </w:r>
      <w:proofErr w:type="spellEnd"/>
      <w:r w:rsidR="007330DE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de</w:t>
      </w:r>
      <w:proofErr w:type="gram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învățământ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preuniversitar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: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Colegiul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Național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Pedagogic Mihai Eminescu,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Colegiul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național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„Unirea” Târgu Mureș,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Colegiul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Național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„Alexandru Papiu Ilarian”,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Grădinița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cu program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prelungit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Manpel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Grădinița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cu program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prelungit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nr. 6,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Grădinița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cu program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prelungit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nr. 16,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Grădinița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cu Program 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Prelungit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Ștefania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cu Program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Sportiv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“Szász Adalbert”,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Colegiul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Economic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Transilvania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Tehnologic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„Gheorghe Șincai”,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Tehnologic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Aurel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Persu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, 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Tehnologic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„Avram Iancu”,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Tehnologic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Electromureș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Tehnologic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„Ion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Vlasiu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Tehnologic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„Traian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Vuia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Teoretic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„Gheorghe Marinescu”,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teoretic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„Bolyai Farkas”, </w:t>
      </w:r>
      <w:proofErr w:type="spellStart"/>
      <w:r w:rsidR="0088600F" w:rsidRPr="0088600F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Colegiul</w:t>
      </w:r>
      <w:proofErr w:type="spellEnd"/>
      <w:r w:rsidR="0088600F" w:rsidRPr="0088600F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="0088600F" w:rsidRPr="0088600F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Național</w:t>
      </w:r>
      <w:proofErr w:type="spellEnd"/>
      <w:r w:rsidR="0088600F" w:rsidRPr="0088600F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de </w:t>
      </w:r>
      <w:proofErr w:type="spellStart"/>
      <w:r w:rsidR="0088600F" w:rsidRPr="0088600F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Artă</w:t>
      </w:r>
      <w:proofErr w:type="spellEnd"/>
      <w:r w:rsidR="0088600F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T</w:t>
      </w:r>
      <w:r w:rsidR="0088600F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â</w:t>
      </w: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rgu Mure</w:t>
      </w:r>
      <w:r w:rsidR="0088600F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</w:t>
      </w: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Liceul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Vocațional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Reformat,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„George Coșbuc”,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lastRenderedPageBreak/>
        <w:t>Scoala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„Dacia”,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„Liviu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Rebreanu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"Tudor Vladimirescu",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Alexandru Ioan Cuza,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Europa,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Scoala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„Mihai Viteazul”,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Nicolae Bălcescu,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„Romulus Guga”,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Nr. 7,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„Friedrich Schiller”,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Serafim Duicu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și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Școala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Gimnazială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„Dr.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Bernády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György”</w:t>
      </w:r>
      <w:r w:rsidRPr="00FB1BF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val="en-AU"/>
        </w:rPr>
        <w:t xml:space="preserve"> </w:t>
      </w:r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–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unitati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de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învățământ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cu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personalitate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 xml:space="preserve"> </w:t>
      </w:r>
      <w:proofErr w:type="spellStart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juridică</w:t>
      </w:r>
      <w:proofErr w:type="spellEnd"/>
      <w:r w:rsidRPr="00FB1BF4"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  <w:t>.</w:t>
      </w:r>
    </w:p>
    <w:p w14:paraId="5A3C926A" w14:textId="0DDFADF0" w:rsidR="00FB1BF4" w:rsidRPr="00FB1BF4" w:rsidRDefault="00E557A5" w:rsidP="007330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 w:themeColor="text1"/>
          <w:sz w:val="24"/>
          <w:szCs w:val="24"/>
          <w:lang w:val="en-AU"/>
        </w:rPr>
      </w:pP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Conform Contractului de finanțare v</w:t>
      </w:r>
      <w:r w:rsidR="00FB1BF4"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>aloarea eligibil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ă</w:t>
      </w:r>
      <w:r w:rsidR="00FB1BF4" w:rsidRPr="00FB1BF4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a proiectului fără TVA este de </w:t>
      </w:r>
      <w:r w:rsidR="00FB1BF4" w:rsidRPr="00FB1BF4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40.362.049,23 lei</w:t>
      </w:r>
      <w:r w:rsidR="0088600F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 xml:space="preserve">,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iar TVA-</w:t>
      </w:r>
      <w:proofErr w:type="spellStart"/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ul</w:t>
      </w:r>
      <w:proofErr w:type="spellEnd"/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pentru valoarea eligibilă este de </w:t>
      </w:r>
      <w:r w:rsidRPr="00E557A5"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</w:rPr>
        <w:t>7.668.789,36 lei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. </w:t>
      </w:r>
    </w:p>
    <w:bookmarkEnd w:id="4"/>
    <w:p w14:paraId="305E8ACD" w14:textId="16557586" w:rsidR="00E557A5" w:rsidRPr="00E557A5" w:rsidRDefault="00E557A5" w:rsidP="000C2F9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E557A5">
        <w:rPr>
          <w:rFonts w:ascii="Times New Roman" w:eastAsia="Times New Roman" w:hAnsi="Times New Roman"/>
          <w:bCs/>
          <w:sz w:val="24"/>
          <w:szCs w:val="24"/>
          <w:lang w:eastAsia="ro-RO"/>
        </w:rPr>
        <w:t>Având în vedere finalizare</w:t>
      </w:r>
      <w:r w:rsidR="0088600F">
        <w:rPr>
          <w:rFonts w:ascii="Times New Roman" w:eastAsia="Times New Roman" w:hAnsi="Times New Roman"/>
          <w:bCs/>
          <w:sz w:val="24"/>
          <w:szCs w:val="24"/>
          <w:lang w:eastAsia="ro-RO"/>
        </w:rPr>
        <w:t>a</w:t>
      </w:r>
      <w:r w:rsidRPr="00E557A5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procedurilor de achiziție care s-au definitivat prin semnarea contractelor de furnizare 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ș</w:t>
      </w:r>
      <w:r w:rsidRPr="00E557A5">
        <w:rPr>
          <w:rFonts w:ascii="Times New Roman" w:eastAsia="Times New Roman" w:hAnsi="Times New Roman"/>
          <w:bCs/>
          <w:sz w:val="24"/>
          <w:szCs w:val="24"/>
          <w:lang w:eastAsia="ro-RO"/>
        </w:rPr>
        <w:t>i modificarea cotei TVA de la 19% la 21%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și </w:t>
      </w:r>
      <w:r w:rsidR="0088600F">
        <w:rPr>
          <w:rFonts w:ascii="Times New Roman" w:eastAsia="Times New Roman" w:hAnsi="Times New Roman"/>
          <w:bCs/>
          <w:sz w:val="24"/>
          <w:szCs w:val="24"/>
          <w:lang w:eastAsia="ro-RO"/>
        </w:rPr>
        <w:t>luând în considerare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E557A5">
        <w:rPr>
          <w:rFonts w:ascii="Times New Roman" w:eastAsia="Times New Roman" w:hAnsi="Times New Roman"/>
          <w:bCs/>
          <w:sz w:val="24"/>
          <w:szCs w:val="24"/>
          <w:lang w:eastAsia="ro-RO"/>
        </w:rPr>
        <w:t>Nota privind majorarea cotei de TVA aplicabilă contractelor de achiziție publică din cadrul proiectelor de finanțare PNRR nr. 1764/DGIPNRR/22.08.2025</w:t>
      </w:r>
      <w:r w:rsidR="0088600F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E557A5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se </w:t>
      </w:r>
      <w:r w:rsidR="0088600F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impune </w:t>
      </w:r>
      <w:r w:rsidR="0088600F" w:rsidRPr="0088600F"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  <w:t>modificarea bugetului proiectului</w:t>
      </w:r>
      <w:r w:rsidRPr="0088600F"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  <w:t xml:space="preserve">  </w:t>
      </w:r>
      <w:r w:rsidR="0088600F" w:rsidRPr="0088600F">
        <w:rPr>
          <w:rFonts w:ascii="Times New Roman" w:eastAsia="Times New Roman" w:hAnsi="Times New Roman"/>
          <w:b/>
          <w:sz w:val="24"/>
          <w:szCs w:val="24"/>
          <w:u w:val="single"/>
          <w:lang w:eastAsia="ro-RO"/>
        </w:rPr>
        <w:t xml:space="preserve">cu suma de </w:t>
      </w:r>
      <w:r w:rsidR="0088600F" w:rsidRPr="0088600F">
        <w:rPr>
          <w:rFonts w:ascii="Times New Roman" w:eastAsia="Times New Roman" w:hAnsi="Times New Roman"/>
          <w:b/>
          <w:u w:val="single"/>
          <w:lang w:val="en-US"/>
        </w:rPr>
        <w:t xml:space="preserve">154.416,41 lei </w:t>
      </w:r>
      <w:proofErr w:type="spellStart"/>
      <w:r w:rsidR="0088600F" w:rsidRPr="0088600F">
        <w:rPr>
          <w:rFonts w:ascii="Times New Roman" w:eastAsia="Times New Roman" w:hAnsi="Times New Roman"/>
          <w:b/>
          <w:u w:val="single"/>
          <w:lang w:val="en-US"/>
        </w:rPr>
        <w:t>prin</w:t>
      </w:r>
      <w:proofErr w:type="spellEnd"/>
      <w:r w:rsidR="0088600F" w:rsidRPr="0088600F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</w:t>
      </w:r>
      <w:r w:rsidRPr="00E557A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o-RO"/>
        </w:rPr>
        <w:t xml:space="preserve">realocarea în cadrul bugetului si suplinirea </w:t>
      </w:r>
      <w:proofErr w:type="spellStart"/>
      <w:r w:rsidRPr="00E557A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o-RO"/>
        </w:rPr>
        <w:t>diferentei</w:t>
      </w:r>
      <w:proofErr w:type="spellEnd"/>
      <w:r w:rsidRPr="00E557A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o-RO"/>
        </w:rPr>
        <w:t xml:space="preserve"> de TVA </w:t>
      </w:r>
      <w:proofErr w:type="spellStart"/>
      <w:r w:rsidRPr="00E557A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o-RO"/>
        </w:rPr>
        <w:t>atat</w:t>
      </w:r>
      <w:proofErr w:type="spellEnd"/>
      <w:r w:rsidRPr="00E557A5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o-RO"/>
        </w:rPr>
        <w:t xml:space="preserve"> din economii, cat si din bugetul local.</w:t>
      </w:r>
    </w:p>
    <w:p w14:paraId="45A43504" w14:textId="7C85180A" w:rsidR="00E557A5" w:rsidRDefault="00E557A5" w:rsidP="000C2F9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În consecință,</w:t>
      </w:r>
      <w:r w:rsidRPr="00E557A5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având la bază valorile realocate și valorile transferate din economii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, valoarea bugetului proiectului se </w:t>
      </w:r>
      <w:r w:rsidRPr="00E557A5">
        <w:rPr>
          <w:rFonts w:ascii="Times New Roman" w:eastAsia="Times New Roman" w:hAnsi="Times New Roman"/>
          <w:bCs/>
          <w:sz w:val="24"/>
          <w:szCs w:val="24"/>
          <w:lang w:eastAsia="ro-RO"/>
        </w:rPr>
        <w:t>modific</w:t>
      </w: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>ă astfel</w:t>
      </w:r>
      <w:r w:rsidRPr="00E557A5">
        <w:rPr>
          <w:rFonts w:ascii="Times New Roman" w:eastAsia="Times New Roman" w:hAnsi="Times New Roman"/>
          <w:bCs/>
          <w:sz w:val="24"/>
          <w:szCs w:val="24"/>
          <w:lang w:eastAsia="ro-RO"/>
        </w:rPr>
        <w:t>:</w:t>
      </w:r>
    </w:p>
    <w:tbl>
      <w:tblPr>
        <w:tblW w:w="5191" w:type="dxa"/>
        <w:tblInd w:w="1653" w:type="dxa"/>
        <w:tblLook w:val="04A0" w:firstRow="1" w:lastRow="0" w:firstColumn="1" w:lastColumn="0" w:noHBand="0" w:noVBand="1"/>
      </w:tblPr>
      <w:tblGrid>
        <w:gridCol w:w="580"/>
        <w:gridCol w:w="3340"/>
        <w:gridCol w:w="1271"/>
      </w:tblGrid>
      <w:tr w:rsidR="00C959C0" w:rsidRPr="00C959C0" w14:paraId="2E650428" w14:textId="77777777" w:rsidTr="00C959C0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90259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bookmarkStart w:id="6" w:name="_Hlk213679117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F8B4" w14:textId="77777777" w:rsidR="00C959C0" w:rsidRPr="00C959C0" w:rsidRDefault="00C959C0" w:rsidP="00C959C0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eligibil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112A5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40.362.049,23</w:t>
            </w:r>
          </w:p>
        </w:tc>
      </w:tr>
      <w:tr w:rsidR="00C959C0" w:rsidRPr="00C959C0" w14:paraId="32003EA8" w14:textId="77777777" w:rsidTr="00C959C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D3F8E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C204D" w14:textId="77777777" w:rsidR="00C959C0" w:rsidRPr="00C959C0" w:rsidRDefault="00C959C0" w:rsidP="00C959C0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eligibilă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EB3C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7.668.789,39</w:t>
            </w:r>
          </w:p>
        </w:tc>
      </w:tr>
      <w:tr w:rsidR="00C959C0" w:rsidRPr="00C959C0" w14:paraId="3B968341" w14:textId="77777777" w:rsidTr="00C959C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06F0C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0C28" w14:textId="77777777" w:rsidR="00C959C0" w:rsidRPr="00C959C0" w:rsidRDefault="00C959C0" w:rsidP="00C959C0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suplimentare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neeligibil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C2A7C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154.416,41</w:t>
            </w:r>
          </w:p>
        </w:tc>
      </w:tr>
      <w:tr w:rsidR="00C959C0" w:rsidRPr="00C959C0" w14:paraId="72981EB0" w14:textId="77777777" w:rsidTr="00C959C0">
        <w:trPr>
          <w:trHeight w:val="150"/>
        </w:trPr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634E6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959C0" w:rsidRPr="00C959C0" w14:paraId="591B0A63" w14:textId="77777777" w:rsidTr="00C959C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E3C8C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4.1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5B560" w14:textId="77777777" w:rsidR="00C959C0" w:rsidRPr="00C959C0" w:rsidRDefault="00C959C0" w:rsidP="00C959C0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eligibil</w:t>
            </w:r>
            <w:proofErr w:type="spellEnd"/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cu TVA (1+2)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C2101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48.030.838,62</w:t>
            </w:r>
          </w:p>
        </w:tc>
      </w:tr>
      <w:tr w:rsidR="00C959C0" w:rsidRPr="00C959C0" w14:paraId="6A53E30A" w14:textId="77777777" w:rsidTr="00C959C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A6ECC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4.2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8B75" w14:textId="77777777" w:rsidR="00C959C0" w:rsidRPr="00C959C0" w:rsidRDefault="00C959C0" w:rsidP="00C959C0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eligibil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+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neeligibil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cu TVA (1+2+3)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7F161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48.185.255,03</w:t>
            </w:r>
          </w:p>
        </w:tc>
      </w:tr>
      <w:tr w:rsidR="00C959C0" w:rsidRPr="00C959C0" w14:paraId="590AD79A" w14:textId="77777777" w:rsidTr="00C959C0">
        <w:trPr>
          <w:trHeight w:val="165"/>
        </w:trPr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39D771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959C0" w:rsidRPr="00C959C0" w14:paraId="435F1F53" w14:textId="77777777" w:rsidTr="00C959C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08B6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0F8D3" w14:textId="77777777" w:rsidR="00C959C0" w:rsidRPr="00C959C0" w:rsidRDefault="00C959C0" w:rsidP="00C959C0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neeligibil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66DCC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256.390,00</w:t>
            </w:r>
          </w:p>
        </w:tc>
      </w:tr>
      <w:tr w:rsidR="00C959C0" w:rsidRPr="00C959C0" w14:paraId="5C39903F" w14:textId="77777777" w:rsidTr="00C959C0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18281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500C" w14:textId="77777777" w:rsidR="00C959C0" w:rsidRPr="00C959C0" w:rsidRDefault="00C959C0" w:rsidP="00C959C0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neeligibilă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3DD9C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53.841,90</w:t>
            </w:r>
          </w:p>
        </w:tc>
      </w:tr>
      <w:tr w:rsidR="00C959C0" w:rsidRPr="00C959C0" w14:paraId="6FE16660" w14:textId="77777777" w:rsidTr="00C959C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FB447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3D725" w14:textId="77777777" w:rsidR="00C959C0" w:rsidRPr="00C959C0" w:rsidRDefault="00C959C0" w:rsidP="00C959C0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neeligibil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cu TVA (5+6)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67A1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310.231,90</w:t>
            </w:r>
          </w:p>
        </w:tc>
      </w:tr>
      <w:tr w:rsidR="00C959C0" w:rsidRPr="00C959C0" w14:paraId="5B21EA4B" w14:textId="77777777" w:rsidTr="00C959C0">
        <w:trPr>
          <w:trHeight w:val="120"/>
        </w:trPr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215761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959C0" w:rsidRPr="00C959C0" w14:paraId="0AF0AF9D" w14:textId="77777777" w:rsidTr="00C959C0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3914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9B71" w14:textId="77777777" w:rsidR="00C959C0" w:rsidRPr="00C959C0" w:rsidRDefault="00C959C0" w:rsidP="00C959C0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proiect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TVA (1+5)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01C76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40.618.439,23</w:t>
            </w:r>
          </w:p>
        </w:tc>
      </w:tr>
      <w:tr w:rsidR="00C959C0" w:rsidRPr="00C959C0" w14:paraId="0DF37461" w14:textId="77777777" w:rsidTr="00C959C0">
        <w:trPr>
          <w:trHeight w:val="2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DE38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EF6C" w14:textId="77777777" w:rsidR="00C959C0" w:rsidRPr="00C959C0" w:rsidRDefault="00C959C0" w:rsidP="00C959C0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TVA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proiect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(2+3+6)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7DD59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7.877.047,70</w:t>
            </w:r>
          </w:p>
        </w:tc>
      </w:tr>
      <w:tr w:rsidR="00C959C0" w:rsidRPr="00C959C0" w14:paraId="2D251801" w14:textId="77777777" w:rsidTr="00C959C0">
        <w:trPr>
          <w:trHeight w:val="2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466EF" w14:textId="77777777" w:rsidR="00C959C0" w:rsidRPr="00C959C0" w:rsidRDefault="00C959C0" w:rsidP="00C959C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B36B" w14:textId="77777777" w:rsidR="00C959C0" w:rsidRPr="00C959C0" w:rsidRDefault="00C959C0" w:rsidP="00C959C0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proiect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cu TVA (8+9)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EC7B" w14:textId="77777777" w:rsidR="00C959C0" w:rsidRPr="00C959C0" w:rsidRDefault="00C959C0" w:rsidP="00C959C0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48.495.486,93</w:t>
            </w:r>
          </w:p>
        </w:tc>
      </w:tr>
    </w:tbl>
    <w:bookmarkEnd w:id="6"/>
    <w:p w14:paraId="782FA29E" w14:textId="6A89CB01" w:rsidR="006E677F" w:rsidRPr="008F0702" w:rsidRDefault="006E677F" w:rsidP="000C2F9E">
      <w:pPr>
        <w:spacing w:before="9" w:line="240" w:lineRule="auto"/>
        <w:ind w:right="-142" w:firstLine="720"/>
        <w:jc w:val="both"/>
        <w:rPr>
          <w:rFonts w:ascii="Times New Roman" w:hAnsi="Times New Roman"/>
          <w:w w:val="95"/>
          <w:sz w:val="24"/>
          <w:szCs w:val="24"/>
        </w:rPr>
      </w:pPr>
      <w:r w:rsidRPr="008F0702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Față de cele arătate mai sus, propunem spre dezbatere și aprobare Consiliului Local Târgu Mureș, proiectul de hotărâre  </w:t>
      </w:r>
      <w:r w:rsidRPr="008F0702">
        <w:rPr>
          <w:rFonts w:ascii="Times New Roman" w:hAnsi="Times New Roman"/>
          <w:w w:val="95"/>
          <w:sz w:val="24"/>
          <w:szCs w:val="24"/>
        </w:rPr>
        <w:t xml:space="preserve">privind </w:t>
      </w:r>
      <w:r w:rsidR="008F0702" w:rsidRPr="008F0702">
        <w:rPr>
          <w:rFonts w:ascii="Times New Roman" w:hAnsi="Times New Roman"/>
          <w:w w:val="95"/>
          <w:sz w:val="24"/>
          <w:szCs w:val="24"/>
        </w:rPr>
        <w:t>aprobarea modificării Art.3. din HCL nr. 100 din 30.03.2023 privind aprobarea proiectului „Dotarea cu mobilier, materiale didactice și echipamente digitale a unităților de învățământ preuniversitar  din municipiul Târgu Mureș” in cadrul apelurilor de proiecte cu titlul  PNRR/2022/C15/MEDU/I9./I11./I13./I14 -Dotarea cu mobilier, materiale didactice și echipamente digitale a unităților de învățământ preuniversitar și a unităților conexe</w:t>
      </w:r>
      <w:r w:rsidR="008F0702">
        <w:rPr>
          <w:rFonts w:ascii="Times New Roman" w:hAnsi="Times New Roman"/>
          <w:w w:val="95"/>
          <w:sz w:val="24"/>
          <w:szCs w:val="24"/>
        </w:rPr>
        <w:t>.</w:t>
      </w:r>
    </w:p>
    <w:p w14:paraId="141A065A" w14:textId="17BF4275" w:rsidR="006E677F" w:rsidRDefault="006E677F" w:rsidP="000C2F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C5423">
        <w:rPr>
          <w:rFonts w:ascii="Times New Roman" w:hAnsi="Times New Roman"/>
          <w:b/>
          <w:sz w:val="24"/>
          <w:szCs w:val="24"/>
        </w:rPr>
        <w:t xml:space="preserve">DPFIRURPL 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SPFI</w:t>
      </w:r>
      <w:r w:rsidRPr="00EC5423"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C5423">
        <w:rPr>
          <w:rFonts w:ascii="Times New Roman" w:hAnsi="Times New Roman"/>
          <w:b/>
          <w:sz w:val="24"/>
          <w:szCs w:val="24"/>
        </w:rPr>
        <w:t xml:space="preserve"> </w:t>
      </w:r>
      <w:r w:rsidR="00E76A6A">
        <w:rPr>
          <w:rFonts w:ascii="Times New Roman" w:hAnsi="Times New Roman"/>
          <w:b/>
          <w:sz w:val="24"/>
          <w:szCs w:val="24"/>
        </w:rPr>
        <w:t xml:space="preserve">            </w:t>
      </w:r>
      <w:r w:rsidR="00E76A6A" w:rsidRPr="00EC5423">
        <w:rPr>
          <w:rFonts w:ascii="Times New Roman" w:hAnsi="Times New Roman"/>
          <w:b/>
          <w:sz w:val="24"/>
          <w:szCs w:val="24"/>
        </w:rPr>
        <w:t>Direcția Școli</w:t>
      </w:r>
      <w:r w:rsidR="00E76A6A">
        <w:rPr>
          <w:rFonts w:ascii="Times New Roman" w:hAnsi="Times New Roman"/>
          <w:b/>
          <w:sz w:val="24"/>
          <w:szCs w:val="24"/>
        </w:rPr>
        <w:t xml:space="preserve"> </w:t>
      </w:r>
      <w:r w:rsidR="00E76A6A" w:rsidRPr="00EC5423">
        <w:rPr>
          <w:rFonts w:ascii="Times New Roman" w:hAnsi="Times New Roman"/>
          <w:b/>
          <w:sz w:val="24"/>
          <w:szCs w:val="24"/>
        </w:rPr>
        <w:t xml:space="preserve">     </w:t>
      </w:r>
    </w:p>
    <w:p w14:paraId="45726AE9" w14:textId="4F973D96" w:rsidR="006E677F" w:rsidRPr="00EC5423" w:rsidRDefault="00E8000D" w:rsidP="000C2F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6E677F">
        <w:rPr>
          <w:rFonts w:ascii="Times New Roman" w:hAnsi="Times New Roman"/>
          <w:b/>
          <w:sz w:val="24"/>
          <w:szCs w:val="24"/>
        </w:rPr>
        <w:t>Director</w:t>
      </w:r>
      <w:r w:rsidR="006E677F">
        <w:rPr>
          <w:rFonts w:ascii="Times New Roman" w:hAnsi="Times New Roman"/>
          <w:b/>
          <w:sz w:val="24"/>
          <w:szCs w:val="24"/>
        </w:rPr>
        <w:tab/>
      </w:r>
      <w:r w:rsidR="006E677F">
        <w:rPr>
          <w:rFonts w:ascii="Times New Roman" w:hAnsi="Times New Roman"/>
          <w:b/>
          <w:sz w:val="24"/>
          <w:szCs w:val="24"/>
        </w:rPr>
        <w:tab/>
      </w:r>
      <w:r w:rsidR="006E677F">
        <w:rPr>
          <w:rFonts w:ascii="Times New Roman" w:hAnsi="Times New Roman"/>
          <w:b/>
          <w:sz w:val="24"/>
          <w:szCs w:val="24"/>
        </w:rPr>
        <w:tab/>
      </w:r>
      <w:r w:rsidR="006E677F">
        <w:rPr>
          <w:rFonts w:ascii="Times New Roman" w:hAnsi="Times New Roman"/>
          <w:b/>
          <w:sz w:val="24"/>
          <w:szCs w:val="24"/>
        </w:rPr>
        <w:tab/>
        <w:t>Șef Serviciu</w:t>
      </w:r>
      <w:r w:rsidR="00E76A6A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E76A6A" w:rsidRPr="00E76A6A">
        <w:rPr>
          <w:rFonts w:ascii="Times New Roman" w:hAnsi="Times New Roman"/>
          <w:b/>
          <w:sz w:val="24"/>
          <w:szCs w:val="24"/>
        </w:rPr>
        <w:t>Director executiv adj.</w:t>
      </w:r>
    </w:p>
    <w:p w14:paraId="517C39AC" w14:textId="3D6ADC89" w:rsidR="006E677F" w:rsidRDefault="00E8000D" w:rsidP="000C2F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="006E677F">
        <w:rPr>
          <w:rFonts w:ascii="Times New Roman" w:hAnsi="Times New Roman"/>
          <w:b/>
          <w:sz w:val="24"/>
          <w:szCs w:val="24"/>
        </w:rPr>
        <w:t>Costașuc</w:t>
      </w:r>
      <w:proofErr w:type="spellEnd"/>
      <w:r w:rsidR="006E677F">
        <w:rPr>
          <w:rFonts w:ascii="Times New Roman" w:hAnsi="Times New Roman"/>
          <w:b/>
          <w:sz w:val="24"/>
          <w:szCs w:val="24"/>
        </w:rPr>
        <w:t xml:space="preserve"> Irma</w:t>
      </w:r>
      <w:r w:rsidR="006E677F">
        <w:rPr>
          <w:rFonts w:ascii="Times New Roman" w:hAnsi="Times New Roman"/>
          <w:b/>
          <w:sz w:val="24"/>
          <w:szCs w:val="24"/>
        </w:rPr>
        <w:tab/>
      </w:r>
      <w:r w:rsidR="006E677F">
        <w:rPr>
          <w:rFonts w:ascii="Times New Roman" w:hAnsi="Times New Roman"/>
          <w:b/>
          <w:sz w:val="24"/>
          <w:szCs w:val="24"/>
        </w:rPr>
        <w:tab/>
      </w:r>
      <w:r w:rsidR="006E677F">
        <w:rPr>
          <w:rFonts w:ascii="Times New Roman" w:hAnsi="Times New Roman"/>
          <w:b/>
          <w:sz w:val="24"/>
          <w:szCs w:val="24"/>
        </w:rPr>
        <w:tab/>
      </w:r>
      <w:r w:rsidR="006E677F" w:rsidRPr="00EC5423">
        <w:rPr>
          <w:rFonts w:ascii="Times New Roman" w:hAnsi="Times New Roman"/>
          <w:b/>
          <w:sz w:val="24"/>
          <w:szCs w:val="24"/>
        </w:rPr>
        <w:t xml:space="preserve">Ijac Dana            </w:t>
      </w:r>
      <w:r w:rsidR="00E76A6A">
        <w:rPr>
          <w:rFonts w:ascii="Times New Roman" w:hAnsi="Times New Roman"/>
          <w:b/>
          <w:sz w:val="24"/>
          <w:szCs w:val="24"/>
        </w:rPr>
        <w:t xml:space="preserve">       </w:t>
      </w:r>
      <w:r w:rsidR="006E677F" w:rsidRPr="00EC5423">
        <w:rPr>
          <w:rFonts w:ascii="Times New Roman" w:hAnsi="Times New Roman"/>
          <w:b/>
          <w:sz w:val="24"/>
          <w:szCs w:val="24"/>
        </w:rPr>
        <w:t xml:space="preserve">   </w:t>
      </w:r>
      <w:r w:rsidR="00E76A6A" w:rsidRPr="00E76A6A">
        <w:rPr>
          <w:rFonts w:ascii="Times New Roman" w:hAnsi="Times New Roman"/>
          <w:b/>
          <w:sz w:val="24"/>
          <w:szCs w:val="24"/>
        </w:rPr>
        <w:t>Horațiu Lobonț</w:t>
      </w:r>
    </w:p>
    <w:p w14:paraId="25BD4AD6" w14:textId="77777777" w:rsidR="006E677F" w:rsidRDefault="006E677F" w:rsidP="000C2F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2594CE" w14:textId="77777777" w:rsidR="006E677F" w:rsidRDefault="006E677F" w:rsidP="000C2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58652" w14:textId="77777777" w:rsidR="00112223" w:rsidRDefault="00112223" w:rsidP="000C2F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3F41F1" w14:textId="77777777" w:rsidR="00E76A6A" w:rsidRDefault="006E677F" w:rsidP="00E76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AVIZAT favorabil:</w:t>
      </w:r>
    </w:p>
    <w:p w14:paraId="06075EA5" w14:textId="7AD26A27" w:rsidR="00430090" w:rsidRPr="00430090" w:rsidRDefault="00430090" w:rsidP="00E76A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009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</w:p>
    <w:p w14:paraId="63C69956" w14:textId="4E271A51" w:rsidR="00430090" w:rsidRPr="00430090" w:rsidRDefault="00430090" w:rsidP="000C2F9E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0090">
        <w:rPr>
          <w:rFonts w:ascii="Times New Roman" w:hAnsi="Times New Roman"/>
          <w:b/>
          <w:sz w:val="24"/>
          <w:szCs w:val="24"/>
        </w:rPr>
        <w:t xml:space="preserve">                                                      Directia Economică</w:t>
      </w:r>
    </w:p>
    <w:p w14:paraId="54F55753" w14:textId="681411C1" w:rsidR="00430090" w:rsidRPr="00430090" w:rsidRDefault="00430090" w:rsidP="000C2F9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30090">
        <w:rPr>
          <w:rFonts w:ascii="Times New Roman" w:hAnsi="Times New Roman"/>
          <w:b/>
          <w:sz w:val="24"/>
          <w:szCs w:val="24"/>
        </w:rPr>
        <w:t>Dir. Economic Fodor Anca</w:t>
      </w:r>
    </w:p>
    <w:p w14:paraId="6323F83F" w14:textId="77777777" w:rsidR="00430090" w:rsidRPr="00430090" w:rsidRDefault="00430090" w:rsidP="000C2F9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163FEC" w14:textId="77777777" w:rsidR="006E677F" w:rsidRDefault="006E677F" w:rsidP="00594999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0C56AA48" w14:textId="77777777" w:rsidR="006E677F" w:rsidRDefault="006E677F" w:rsidP="000C2F9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76CDB2CD" w14:textId="77777777" w:rsidR="00444145" w:rsidRDefault="00444145" w:rsidP="000C2F9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5BE8A9AC" w14:textId="77777777" w:rsidR="00594999" w:rsidRDefault="00594999" w:rsidP="000C2F9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</w:p>
    <w:p w14:paraId="6285D298" w14:textId="616EC1D0" w:rsidR="006E677F" w:rsidRPr="00594999" w:rsidRDefault="006E677F" w:rsidP="000C2F9E">
      <w:pPr>
        <w:widowControl w:val="0"/>
        <w:tabs>
          <w:tab w:val="left" w:pos="-720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 xml:space="preserve">Întocmit: </w:t>
      </w:r>
      <w:r w:rsidR="00430090"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>inspector/SPFI</w:t>
      </w:r>
    </w:p>
    <w:p w14:paraId="42ED08A8" w14:textId="0A8A3963" w:rsidR="006E677F" w:rsidRDefault="006E677F" w:rsidP="000C2F9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ab/>
      </w:r>
      <w:r w:rsidR="00430090" w:rsidRPr="00594999"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  <w:t>Nicoleta Creța</w:t>
      </w:r>
    </w:p>
    <w:p w14:paraId="3C66AF64" w14:textId="77777777" w:rsidR="00594999" w:rsidRDefault="00594999" w:rsidP="000C2F9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6A7CC180" w14:textId="77777777" w:rsidR="00444145" w:rsidRPr="00594999" w:rsidRDefault="00444145" w:rsidP="000C2F9E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i/>
          <w:iCs/>
          <w:noProof/>
          <w:spacing w:val="-2"/>
          <w:sz w:val="20"/>
          <w:szCs w:val="20"/>
        </w:rPr>
      </w:pPr>
    </w:p>
    <w:p w14:paraId="1D399177" w14:textId="77777777" w:rsidR="006E677F" w:rsidRPr="00FB0D75" w:rsidRDefault="006E677F" w:rsidP="000C2F9E">
      <w:pPr>
        <w:spacing w:after="0" w:line="240" w:lineRule="auto"/>
        <w:ind w:left="170" w:firstLine="720"/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sectPr w:rsidR="006E677F" w:rsidRPr="00FB0D75" w:rsidSect="00F86357">
          <w:headerReference w:type="default" r:id="rId8"/>
          <w:footerReference w:type="even" r:id="rId9"/>
          <w:pgSz w:w="11909" w:h="16834" w:code="9"/>
          <w:pgMar w:top="794" w:right="1361" w:bottom="907" w:left="1701" w:header="540" w:footer="24" w:gutter="0"/>
          <w:pgNumType w:start="1"/>
          <w:cols w:space="720"/>
          <w:noEndnote/>
          <w:titlePg/>
          <w:docGrid w:linePitch="299"/>
        </w:sectPr>
      </w:pPr>
      <w:r w:rsidRPr="002E17AC">
        <w:rPr>
          <w:rFonts w:ascii="Times New Roman" w:eastAsia="Times New Roman" w:hAnsi="Times New Roman"/>
          <w:bCs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   </w:t>
      </w:r>
    </w:p>
    <w:p w14:paraId="448E4AFC" w14:textId="40E43F45" w:rsidR="006E677F" w:rsidRDefault="006E677F" w:rsidP="006E677F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21DF8DB3" w14:textId="77777777" w:rsidR="006E677F" w:rsidRPr="002E17AC" w:rsidRDefault="006E677F" w:rsidP="006E677F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70DEACC5" w14:textId="77777777" w:rsidR="006E677F" w:rsidRDefault="00E200A6" w:rsidP="006E677F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13FFFD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10" o:title=""/>
            <w10:wrap type="tight"/>
          </v:shape>
          <o:OLEObject Type="Embed" ProgID="Word.Picture.8" ShapeID="_x0000_s1026" DrawAspect="Content" ObjectID="_1824884808" r:id="rId11"/>
        </w:object>
      </w:r>
      <w:r w:rsidR="006E677F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JUDEŢUL MUREŞ                                                                                 PRIMAR</w:t>
      </w:r>
      <w:r w:rsidR="006E677F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</w:p>
    <w:p w14:paraId="184BD1F0" w14:textId="1ED1C77C" w:rsidR="006E677F" w:rsidRPr="002E17AC" w:rsidRDefault="006E677F" w:rsidP="006E677F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2FC1A9B9" w14:textId="77777777" w:rsidR="006E677F" w:rsidRPr="002E17AC" w:rsidRDefault="006E677F" w:rsidP="006E677F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0BECD301" w14:textId="77777777" w:rsidR="006E677F" w:rsidRPr="002E17AC" w:rsidRDefault="006E677F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76782CA" w14:textId="77777777" w:rsidR="006E677F" w:rsidRPr="002E17AC" w:rsidRDefault="006E677F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79114669" w14:textId="3E8FDBEE" w:rsidR="006E677F" w:rsidRDefault="006E677F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din ___________202</w:t>
      </w:r>
      <w:r w:rsidR="0088600F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5</w:t>
      </w:r>
    </w:p>
    <w:p w14:paraId="311E892C" w14:textId="77777777" w:rsidR="00CB2BEC" w:rsidRPr="002E17AC" w:rsidRDefault="00CB2BEC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65EA1B3C" w14:textId="77777777" w:rsidR="008757B3" w:rsidRPr="006749EB" w:rsidRDefault="008757B3" w:rsidP="008757B3">
      <w:pPr>
        <w:spacing w:after="0" w:line="240" w:lineRule="auto"/>
        <w:jc w:val="center"/>
        <w:rPr>
          <w:rFonts w:ascii="Times New Roman" w:hAnsi="Times New Roman"/>
          <w:b/>
          <w:lang w:eastAsia="ro-RO"/>
        </w:rPr>
      </w:pPr>
      <w:r w:rsidRPr="004C7623">
        <w:rPr>
          <w:rFonts w:ascii="Times New Roman" w:hAnsi="Times New Roman"/>
          <w:w w:val="95"/>
          <w:sz w:val="24"/>
          <w:szCs w:val="24"/>
        </w:rPr>
        <w:t xml:space="preserve">privind </w:t>
      </w:r>
      <w:r w:rsidRPr="001E0EC5">
        <w:rPr>
          <w:rFonts w:ascii="Times New Roman" w:hAnsi="Times New Roman"/>
          <w:bCs/>
          <w:lang w:eastAsia="ro-RO"/>
        </w:rPr>
        <w:t xml:space="preserve">aprobarea </w:t>
      </w:r>
      <w:r w:rsidRPr="009F76DC">
        <w:rPr>
          <w:rFonts w:ascii="Times New Roman" w:hAnsi="Times New Roman"/>
          <w:b/>
          <w:bCs/>
          <w:iCs/>
          <w:lang w:eastAsia="ro-RO"/>
        </w:rPr>
        <w:t xml:space="preserve">modificării </w:t>
      </w:r>
      <w:bookmarkStart w:id="7" w:name="_Hlk213664961"/>
      <w:r w:rsidRPr="009F76DC">
        <w:rPr>
          <w:rFonts w:ascii="Times New Roman" w:hAnsi="Times New Roman"/>
          <w:b/>
          <w:bCs/>
          <w:iCs/>
          <w:lang w:eastAsia="ro-RO"/>
        </w:rPr>
        <w:t>Art.3. din HCL nr.</w:t>
      </w:r>
      <w:r w:rsidRPr="001E0EC5">
        <w:rPr>
          <w:rFonts w:ascii="Times New Roman" w:hAnsi="Times New Roman"/>
          <w:bCs/>
          <w:lang w:eastAsia="ro-RO"/>
        </w:rPr>
        <w:t xml:space="preserve"> </w:t>
      </w:r>
      <w:r w:rsidRPr="009F76DC">
        <w:rPr>
          <w:rFonts w:ascii="Times New Roman" w:hAnsi="Times New Roman"/>
          <w:b/>
          <w:lang w:eastAsia="ro-RO"/>
        </w:rPr>
        <w:t>100 din 30.03.2023 privind aprobarea</w:t>
      </w:r>
      <w:r>
        <w:rPr>
          <w:rFonts w:ascii="Times New Roman" w:hAnsi="Times New Roman"/>
          <w:bCs/>
          <w:lang w:eastAsia="ro-RO"/>
        </w:rPr>
        <w:t xml:space="preserve"> </w:t>
      </w:r>
      <w:r w:rsidRPr="006749EB">
        <w:rPr>
          <w:rFonts w:ascii="Times New Roman" w:hAnsi="Times New Roman"/>
          <w:b/>
          <w:lang w:eastAsia="ro-RO"/>
        </w:rPr>
        <w:t xml:space="preserve">proiectului </w:t>
      </w:r>
      <w:r w:rsidRPr="006749EB">
        <w:rPr>
          <w:rFonts w:ascii="Times New Roman" w:hAnsi="Times New Roman"/>
          <w:b/>
        </w:rPr>
        <w:t xml:space="preserve">„Dotarea cu mobilier, materiale didactice și echipamente digitale </w:t>
      </w:r>
    </w:p>
    <w:p w14:paraId="6123C282" w14:textId="77777777" w:rsidR="008757B3" w:rsidRDefault="008757B3" w:rsidP="008757B3">
      <w:pPr>
        <w:spacing w:after="0" w:line="240" w:lineRule="auto"/>
        <w:jc w:val="center"/>
        <w:rPr>
          <w:rFonts w:ascii="Times New Roman" w:hAnsi="Times New Roman"/>
          <w:bCs/>
        </w:rPr>
      </w:pPr>
      <w:r w:rsidRPr="00CB2BEC">
        <w:rPr>
          <w:rFonts w:ascii="Times New Roman" w:hAnsi="Times New Roman"/>
          <w:b/>
        </w:rPr>
        <w:t>a unităților de învățământ preuniversitar  din municipiul Târgu</w:t>
      </w:r>
      <w:r>
        <w:rPr>
          <w:rFonts w:ascii="Times New Roman" w:hAnsi="Times New Roman"/>
          <w:b/>
        </w:rPr>
        <w:t xml:space="preserve"> </w:t>
      </w:r>
      <w:r w:rsidRPr="00CB2BEC">
        <w:rPr>
          <w:rFonts w:ascii="Times New Roman" w:hAnsi="Times New Roman"/>
          <w:b/>
        </w:rPr>
        <w:t>Mureș”</w:t>
      </w:r>
      <w:r>
        <w:rPr>
          <w:rFonts w:ascii="Times New Roman" w:hAnsi="Times New Roman"/>
          <w:bCs/>
        </w:rPr>
        <w:t xml:space="preserve"> </w:t>
      </w:r>
    </w:p>
    <w:p w14:paraId="33E9DCC7" w14:textId="77777777" w:rsidR="008757B3" w:rsidRPr="001E0EC5" w:rsidRDefault="008757B3" w:rsidP="008757B3">
      <w:pPr>
        <w:spacing w:after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Pr="00663326">
        <w:rPr>
          <w:rFonts w:ascii="Times New Roman" w:hAnsi="Times New Roman"/>
          <w:w w:val="95"/>
        </w:rPr>
        <w:t>in</w:t>
      </w:r>
      <w:r w:rsidRPr="00663326">
        <w:rPr>
          <w:rFonts w:ascii="Times New Roman" w:hAnsi="Times New Roman"/>
          <w:spacing w:val="7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cadrul</w:t>
      </w:r>
      <w:r w:rsidRPr="00663326">
        <w:rPr>
          <w:rFonts w:ascii="Times New Roman" w:hAnsi="Times New Roman"/>
          <w:spacing w:val="34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apelurilor</w:t>
      </w:r>
      <w:r w:rsidRPr="00663326">
        <w:rPr>
          <w:rFonts w:ascii="Times New Roman" w:hAnsi="Times New Roman"/>
          <w:spacing w:val="26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de</w:t>
      </w:r>
      <w:r w:rsidRPr="00663326">
        <w:rPr>
          <w:rFonts w:ascii="Times New Roman" w:hAnsi="Times New Roman"/>
          <w:spacing w:val="18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proiecte</w:t>
      </w:r>
      <w:r w:rsidRPr="00663326">
        <w:rPr>
          <w:rFonts w:ascii="Times New Roman" w:hAnsi="Times New Roman"/>
          <w:spacing w:val="24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cu</w:t>
      </w:r>
      <w:r w:rsidRPr="00663326">
        <w:rPr>
          <w:rFonts w:ascii="Times New Roman" w:hAnsi="Times New Roman"/>
          <w:spacing w:val="22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titlul</w:t>
      </w:r>
      <w:r w:rsidRPr="00663326">
        <w:rPr>
          <w:rFonts w:ascii="Times New Roman" w:hAnsi="Times New Roman"/>
          <w:spacing w:val="1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 xml:space="preserve"> </w:t>
      </w:r>
      <w:r w:rsidRPr="00663326">
        <w:rPr>
          <w:rFonts w:ascii="Times New Roman" w:eastAsia="Times New Roman" w:hAnsi="Times New Roman"/>
          <w:lang w:eastAsia="ro-RO"/>
        </w:rPr>
        <w:t>PNRR/2022/C15/MEDU/I9./I11./I13./I14</w:t>
      </w:r>
      <w:r>
        <w:rPr>
          <w:rFonts w:ascii="Times New Roman" w:eastAsia="Times New Roman" w:hAnsi="Times New Roman"/>
          <w:lang w:eastAsia="ro-RO"/>
        </w:rPr>
        <w:t xml:space="preserve"> -</w:t>
      </w:r>
      <w:r w:rsidRPr="00663326">
        <w:rPr>
          <w:rFonts w:ascii="Times New Roman" w:eastAsia="Times New Roman" w:hAnsi="Times New Roman"/>
          <w:lang w:eastAsia="ro-RO"/>
        </w:rPr>
        <w:t>Dotarea cu mobilier, materiale didactice și echipamente digitale a unităților de învățământ preuniversitar și a unităților conexe</w:t>
      </w:r>
    </w:p>
    <w:bookmarkEnd w:id="7"/>
    <w:p w14:paraId="7C975581" w14:textId="77777777" w:rsidR="006E677F" w:rsidRPr="002E17AC" w:rsidRDefault="006E677F" w:rsidP="006E677F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65377CAD" w14:textId="77777777" w:rsidR="00CB2BEC" w:rsidRDefault="00CB2BEC" w:rsidP="006E677F">
      <w:pPr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</w:pPr>
    </w:p>
    <w:p w14:paraId="36E87F6A" w14:textId="7FC577EA" w:rsidR="006E677F" w:rsidRPr="00663326" w:rsidRDefault="006E677F" w:rsidP="006E677F">
      <w:pPr>
        <w:rPr>
          <w:rFonts w:ascii="Times New Roman" w:hAnsi="Times New Roman"/>
          <w:b/>
          <w:noProof/>
        </w:rPr>
      </w:pPr>
      <w:r w:rsidRPr="00663326">
        <w:rPr>
          <w:rFonts w:ascii="Times New Roman" w:eastAsia="Times New Roman" w:hAnsi="Times New Roman"/>
          <w:b/>
          <w:bCs/>
          <w:i/>
          <w:noProof/>
          <w:color w:val="000000"/>
          <w:lang w:eastAsia="ro-RO"/>
        </w:rPr>
        <w:t xml:space="preserve">  </w:t>
      </w:r>
      <w:r w:rsidRPr="00663326">
        <w:rPr>
          <w:rFonts w:ascii="Times New Roman" w:eastAsia="Times New Roman" w:hAnsi="Times New Roman"/>
          <w:b/>
          <w:bCs/>
          <w:i/>
          <w:noProof/>
          <w:lang w:eastAsia="ro-RO"/>
        </w:rPr>
        <w:t xml:space="preserve">Consiliul local al municipiului Târgu Mureş, întrunit în şedinţă </w:t>
      </w:r>
      <w:r w:rsidR="00E200A6">
        <w:rPr>
          <w:rFonts w:ascii="Times New Roman" w:eastAsia="Times New Roman" w:hAnsi="Times New Roman"/>
          <w:b/>
          <w:bCs/>
          <w:i/>
          <w:noProof/>
          <w:lang w:eastAsia="ro-RO"/>
        </w:rPr>
        <w:t>extra</w:t>
      </w:r>
      <w:r w:rsidR="007F0B30">
        <w:rPr>
          <w:rFonts w:ascii="Times New Roman" w:eastAsia="Times New Roman" w:hAnsi="Times New Roman"/>
          <w:b/>
          <w:bCs/>
          <w:i/>
          <w:noProof/>
          <w:lang w:eastAsia="ro-RO"/>
        </w:rPr>
        <w:t>ordinară</w:t>
      </w:r>
      <w:r w:rsidRPr="00663326">
        <w:rPr>
          <w:rFonts w:ascii="Times New Roman" w:eastAsia="Times New Roman" w:hAnsi="Times New Roman"/>
          <w:b/>
          <w:bCs/>
          <w:i/>
          <w:noProof/>
          <w:lang w:eastAsia="ro-RO"/>
        </w:rPr>
        <w:t>,</w:t>
      </w:r>
      <w:r w:rsidRPr="00663326">
        <w:rPr>
          <w:rFonts w:ascii="Times New Roman" w:hAnsi="Times New Roman"/>
          <w:b/>
          <w:noProof/>
        </w:rPr>
        <w:t xml:space="preserve"> </w:t>
      </w:r>
    </w:p>
    <w:p w14:paraId="106CCD4B" w14:textId="77777777" w:rsidR="006E677F" w:rsidRPr="00663326" w:rsidRDefault="006E677F" w:rsidP="006E677F">
      <w:pPr>
        <w:spacing w:after="0" w:line="240" w:lineRule="auto"/>
        <w:ind w:firstLine="851"/>
        <w:jc w:val="both"/>
        <w:rPr>
          <w:rFonts w:ascii="Times New Roman" w:hAnsi="Times New Roman"/>
          <w:b/>
        </w:rPr>
      </w:pPr>
      <w:r w:rsidRPr="00663326">
        <w:rPr>
          <w:rFonts w:ascii="Times New Roman" w:hAnsi="Times New Roman"/>
          <w:b/>
        </w:rPr>
        <w:t>Având în vedere:</w:t>
      </w:r>
    </w:p>
    <w:p w14:paraId="390C6A2C" w14:textId="4B2B5C9E" w:rsidR="006E677F" w:rsidRPr="00D853E8" w:rsidRDefault="006E677F" w:rsidP="00C1663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w w:val="95"/>
        </w:rPr>
      </w:pPr>
      <w:r w:rsidRPr="00D853E8">
        <w:rPr>
          <w:rFonts w:ascii="Times New Roman" w:hAnsi="Times New Roman"/>
          <w:bCs/>
          <w:noProof/>
        </w:rPr>
        <w:t>Referatul de aprobare nr.</w:t>
      </w:r>
      <w:r w:rsidR="00B50065" w:rsidRPr="00D853E8">
        <w:rPr>
          <w:rFonts w:ascii="Times New Roman" w:hAnsi="Times New Roman"/>
          <w:bCs/>
          <w:noProof/>
        </w:rPr>
        <w:t xml:space="preserve"> </w:t>
      </w:r>
      <w:r w:rsidR="00C83FCA" w:rsidRPr="00D853E8">
        <w:rPr>
          <w:rFonts w:ascii="Times New Roman" w:hAnsi="Times New Roman"/>
          <w:b/>
          <w:bCs/>
          <w:noProof/>
        </w:rPr>
        <w:t>56358 din 10.11.2025</w:t>
      </w:r>
      <w:r w:rsidR="008757B3" w:rsidRPr="00D853E8">
        <w:rPr>
          <w:rFonts w:ascii="Times New Roman" w:hAnsi="Times New Roman"/>
          <w:bCs/>
          <w:noProof/>
        </w:rPr>
        <w:t xml:space="preserve"> </w:t>
      </w:r>
      <w:r w:rsidRPr="00D853E8">
        <w:rPr>
          <w:rFonts w:ascii="Times New Roman" w:hAnsi="Times New Roman"/>
          <w:bCs/>
          <w:noProof/>
        </w:rPr>
        <w:t xml:space="preserve">inițiat de Primar prin Direcția </w:t>
      </w:r>
      <w:r w:rsidR="00D853E8" w:rsidRPr="00D853E8">
        <w:rPr>
          <w:rFonts w:ascii="Times New Roman" w:hAnsi="Times New Roman"/>
          <w:bCs/>
          <w:noProof/>
        </w:rPr>
        <w:t xml:space="preserve">Direcţia </w:t>
      </w:r>
      <w:bookmarkStart w:id="8" w:name="_Hlk213750572"/>
      <w:r w:rsidR="00D853E8" w:rsidRPr="00D853E8">
        <w:rPr>
          <w:rFonts w:ascii="Times New Roman" w:hAnsi="Times New Roman"/>
          <w:bCs/>
          <w:noProof/>
        </w:rPr>
        <w:t>Proiecte cu Finanţare Internaţională</w:t>
      </w:r>
      <w:bookmarkEnd w:id="8"/>
      <w:r w:rsidR="00D853E8" w:rsidRPr="00D853E8">
        <w:rPr>
          <w:rFonts w:ascii="Times New Roman" w:hAnsi="Times New Roman"/>
          <w:bCs/>
          <w:noProof/>
        </w:rPr>
        <w:t>, Resurse Umane, Relaţii cu Publicul şi Logistică</w:t>
      </w:r>
      <w:r w:rsidRPr="00D853E8">
        <w:rPr>
          <w:rFonts w:ascii="Times New Roman" w:hAnsi="Times New Roman"/>
          <w:bCs/>
          <w:noProof/>
        </w:rPr>
        <w:t xml:space="preserve">, Serviciul </w:t>
      </w:r>
      <w:r w:rsidR="00D853E8" w:rsidRPr="00D853E8">
        <w:rPr>
          <w:rFonts w:ascii="Times New Roman" w:hAnsi="Times New Roman"/>
          <w:bCs/>
          <w:noProof/>
        </w:rPr>
        <w:t>Proiecte cu Finanţare Internaţională</w:t>
      </w:r>
      <w:r w:rsidRPr="00D853E8">
        <w:rPr>
          <w:rFonts w:ascii="Times New Roman" w:hAnsi="Times New Roman"/>
          <w:bCs/>
          <w:noProof/>
        </w:rPr>
        <w:t xml:space="preserve">, </w:t>
      </w:r>
      <w:r w:rsidRPr="00D853E8">
        <w:rPr>
          <w:rFonts w:ascii="Times New Roman" w:eastAsia="Times New Roman" w:hAnsi="Times New Roman"/>
          <w:bCs/>
          <w:noProof/>
          <w:spacing w:val="-7"/>
        </w:rPr>
        <w:t xml:space="preserve">privind </w:t>
      </w:r>
      <w:r w:rsidR="008757B3" w:rsidRPr="00D853E8">
        <w:rPr>
          <w:rFonts w:ascii="Times New Roman" w:hAnsi="Times New Roman"/>
          <w:bCs/>
          <w:w w:val="95"/>
        </w:rPr>
        <w:t xml:space="preserve">aprobarea </w:t>
      </w:r>
      <w:r w:rsidR="008757B3" w:rsidRPr="00D853E8">
        <w:rPr>
          <w:rFonts w:ascii="Times New Roman" w:hAnsi="Times New Roman"/>
          <w:b/>
          <w:bCs/>
          <w:iCs/>
          <w:w w:val="95"/>
        </w:rPr>
        <w:t xml:space="preserve">modificării Art.3. din </w:t>
      </w:r>
      <w:bookmarkStart w:id="9" w:name="_Hlk213664872"/>
      <w:r w:rsidR="008757B3" w:rsidRPr="00D853E8">
        <w:rPr>
          <w:rFonts w:ascii="Times New Roman" w:hAnsi="Times New Roman"/>
          <w:b/>
          <w:bCs/>
          <w:iCs/>
          <w:w w:val="95"/>
        </w:rPr>
        <w:t>HCL nr.</w:t>
      </w:r>
      <w:r w:rsidR="008757B3" w:rsidRPr="00D853E8">
        <w:rPr>
          <w:rFonts w:ascii="Times New Roman" w:hAnsi="Times New Roman"/>
          <w:bCs/>
          <w:w w:val="95"/>
        </w:rPr>
        <w:t xml:space="preserve"> </w:t>
      </w:r>
      <w:bookmarkStart w:id="10" w:name="_Hlk213665173"/>
      <w:r w:rsidR="008757B3" w:rsidRPr="00D853E8">
        <w:rPr>
          <w:rFonts w:ascii="Times New Roman" w:hAnsi="Times New Roman"/>
          <w:b/>
          <w:w w:val="95"/>
        </w:rPr>
        <w:t xml:space="preserve">100 din 30.03.2023 </w:t>
      </w:r>
      <w:bookmarkEnd w:id="10"/>
      <w:r w:rsidR="008757B3" w:rsidRPr="00D853E8">
        <w:rPr>
          <w:rFonts w:ascii="Times New Roman" w:hAnsi="Times New Roman"/>
          <w:b/>
          <w:w w:val="95"/>
        </w:rPr>
        <w:t>privind aprobarea</w:t>
      </w:r>
      <w:r w:rsidR="008757B3" w:rsidRPr="00D853E8">
        <w:rPr>
          <w:rFonts w:ascii="Times New Roman" w:hAnsi="Times New Roman"/>
          <w:bCs/>
          <w:w w:val="95"/>
        </w:rPr>
        <w:t xml:space="preserve"> proiectului </w:t>
      </w:r>
      <w:r w:rsidR="008757B3" w:rsidRPr="00D853E8">
        <w:rPr>
          <w:rFonts w:ascii="Times New Roman" w:hAnsi="Times New Roman"/>
          <w:b/>
          <w:w w:val="95"/>
        </w:rPr>
        <w:t>„Dotarea cu mobilier, materiale didactice și echipamente digitale  a unităților de învățământ preuniversitar  din municipiul Târgu Mureș”</w:t>
      </w:r>
      <w:r w:rsidR="008757B3" w:rsidRPr="00D853E8">
        <w:rPr>
          <w:rFonts w:ascii="Times New Roman" w:hAnsi="Times New Roman"/>
          <w:bCs/>
          <w:w w:val="95"/>
        </w:rPr>
        <w:t xml:space="preserve">  </w:t>
      </w:r>
      <w:r w:rsidR="008757B3" w:rsidRPr="00D853E8">
        <w:rPr>
          <w:rFonts w:ascii="Times New Roman" w:hAnsi="Times New Roman"/>
          <w:w w:val="95"/>
        </w:rPr>
        <w:t>in cadrul apelurilor de proiecte cu titlul  PNRR/2022/C15/MEDU/I9./I11./I13./I14 -Dotarea cu mobilier, materiale didactice și echipamente digitale a unităților de învățământ preuniversitar și a unităților conexe</w:t>
      </w:r>
      <w:bookmarkEnd w:id="9"/>
      <w:r w:rsidRPr="00D853E8">
        <w:rPr>
          <w:rFonts w:ascii="Times New Roman" w:hAnsi="Times New Roman"/>
        </w:rPr>
        <w:t>;</w:t>
      </w:r>
    </w:p>
    <w:p w14:paraId="2C51EF1B" w14:textId="2487E50D" w:rsidR="006E677F" w:rsidRPr="00C1663B" w:rsidRDefault="006E677F" w:rsidP="00C1663B">
      <w:pPr>
        <w:pStyle w:val="ListParagraph"/>
        <w:numPr>
          <w:ilvl w:val="0"/>
          <w:numId w:val="5"/>
        </w:numPr>
        <w:adjustRightInd w:val="0"/>
        <w:spacing w:after="0" w:line="240" w:lineRule="auto"/>
        <w:rPr>
          <w:rFonts w:ascii="Times New Roman" w:hAnsi="Times New Roman"/>
        </w:rPr>
      </w:pPr>
      <w:r w:rsidRPr="00C1663B">
        <w:rPr>
          <w:rFonts w:ascii="Times New Roman" w:hAnsi="Times New Roman"/>
        </w:rPr>
        <w:t xml:space="preserve">Avizele favorabile </w:t>
      </w:r>
      <w:r w:rsidR="00C1663B" w:rsidRPr="00C1663B">
        <w:rPr>
          <w:rFonts w:ascii="Times New Roman" w:hAnsi="Times New Roman"/>
          <w:bCs/>
        </w:rPr>
        <w:t>ale compartimentelor de resort</w:t>
      </w:r>
      <w:r w:rsidR="00C1663B">
        <w:rPr>
          <w:rFonts w:ascii="Times New Roman" w:hAnsi="Times New Roman"/>
          <w:bCs/>
        </w:rPr>
        <w:t>;</w:t>
      </w:r>
    </w:p>
    <w:p w14:paraId="72095712" w14:textId="77777777" w:rsidR="00C1663B" w:rsidRPr="00444145" w:rsidRDefault="00C1663B" w:rsidP="00C1663B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 w:rsidRPr="00444145">
        <w:rPr>
          <w:rFonts w:ascii="Times New Roman" w:hAnsi="Times New Roman"/>
        </w:rPr>
        <w:t>Raportul de specialitate al Direcției juridice, contencios administrativ si administrație publică locală;</w:t>
      </w:r>
    </w:p>
    <w:p w14:paraId="15AD0BD8" w14:textId="77777777" w:rsidR="00C1663B" w:rsidRPr="00444145" w:rsidRDefault="00C1663B" w:rsidP="00C1663B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</w:rPr>
      </w:pPr>
      <w:r w:rsidRPr="00444145">
        <w:rPr>
          <w:rFonts w:ascii="Times New Roman" w:hAnsi="Times New Roman"/>
        </w:rPr>
        <w:t>Raportul comisiilor de specialitate din cadrul Consiliului local al municipiului Târgu Mureș.</w:t>
      </w:r>
    </w:p>
    <w:p w14:paraId="0948B56F" w14:textId="42536DEE" w:rsidR="006E677F" w:rsidRPr="00444145" w:rsidRDefault="006E677F" w:rsidP="00C1663B">
      <w:pPr>
        <w:spacing w:after="0" w:line="240" w:lineRule="auto"/>
        <w:ind w:left="720"/>
        <w:rPr>
          <w:rFonts w:ascii="Times New Roman" w:hAnsi="Times New Roman"/>
          <w:b/>
          <w:noProof/>
        </w:rPr>
      </w:pPr>
      <w:r w:rsidRPr="00444145">
        <w:rPr>
          <w:rFonts w:ascii="Times New Roman" w:hAnsi="Times New Roman"/>
          <w:b/>
          <w:noProof/>
        </w:rPr>
        <w:t>În conformitate cu prevederile :</w:t>
      </w:r>
    </w:p>
    <w:p w14:paraId="6DB04B03" w14:textId="0F69B6F3" w:rsidR="00C1663B" w:rsidRPr="007D3AF7" w:rsidRDefault="007D3AF7" w:rsidP="007D3A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noProof/>
        </w:rPr>
      </w:pPr>
      <w:r w:rsidRPr="00444145">
        <w:rPr>
          <w:rFonts w:ascii="Times New Roman" w:hAnsi="Times New Roman"/>
          <w:b/>
          <w:noProof/>
        </w:rPr>
        <w:t>HCL nr.</w:t>
      </w:r>
      <w:r w:rsidRPr="00444145">
        <w:rPr>
          <w:rFonts w:ascii="Times New Roman" w:hAnsi="Times New Roman"/>
          <w:b/>
          <w:bCs/>
          <w:noProof/>
        </w:rPr>
        <w:t xml:space="preserve"> </w:t>
      </w:r>
      <w:r w:rsidRPr="00444145">
        <w:rPr>
          <w:rFonts w:ascii="Times New Roman" w:hAnsi="Times New Roman"/>
          <w:b/>
          <w:noProof/>
        </w:rPr>
        <w:t xml:space="preserve">100 din 30.03.2023 </w:t>
      </w:r>
      <w:r w:rsidRPr="007D3AF7">
        <w:rPr>
          <w:rFonts w:ascii="Times New Roman" w:hAnsi="Times New Roman"/>
          <w:b/>
          <w:noProof/>
        </w:rPr>
        <w:t>privind aprobarea</w:t>
      </w:r>
      <w:r w:rsidRPr="007D3AF7">
        <w:rPr>
          <w:rFonts w:ascii="Times New Roman" w:hAnsi="Times New Roman"/>
          <w:b/>
          <w:bCs/>
          <w:noProof/>
        </w:rPr>
        <w:t xml:space="preserve"> proiectului </w:t>
      </w:r>
      <w:r w:rsidRPr="007D3AF7">
        <w:rPr>
          <w:rFonts w:ascii="Times New Roman" w:hAnsi="Times New Roman"/>
          <w:b/>
          <w:noProof/>
        </w:rPr>
        <w:t>„Dotarea cu mobilier, materiale didactice și echipamente digitale  a unităților de învățământ preuniversitar  din municipiul Târgu Mureș”</w:t>
      </w:r>
      <w:r w:rsidRPr="007D3AF7">
        <w:rPr>
          <w:rFonts w:ascii="Times New Roman" w:hAnsi="Times New Roman"/>
          <w:b/>
          <w:bCs/>
          <w:noProof/>
        </w:rPr>
        <w:t xml:space="preserve">  </w:t>
      </w:r>
      <w:r w:rsidRPr="007D3AF7">
        <w:rPr>
          <w:rFonts w:ascii="Times New Roman" w:hAnsi="Times New Roman"/>
          <w:b/>
          <w:noProof/>
        </w:rPr>
        <w:t>in cadrul apelurilor de proiecte cu titlul</w:t>
      </w:r>
      <w:r>
        <w:rPr>
          <w:rFonts w:ascii="Times New Roman" w:hAnsi="Times New Roman"/>
          <w:b/>
          <w:noProof/>
        </w:rPr>
        <w:t xml:space="preserve"> </w:t>
      </w:r>
      <w:r w:rsidRPr="007D3AF7">
        <w:rPr>
          <w:rFonts w:ascii="Times New Roman" w:hAnsi="Times New Roman"/>
          <w:b/>
          <w:noProof/>
        </w:rPr>
        <w:t>PNRR/2022/C15/MEDU/I9./I11./I13./I14 -Dotarea cu mobilier, materiale didactice și echipamente digitale a unităților de învățământ preuniversitar și a unităților conexe</w:t>
      </w:r>
    </w:p>
    <w:p w14:paraId="456519F2" w14:textId="77777777" w:rsidR="006E677F" w:rsidRPr="00663326" w:rsidRDefault="006E677F" w:rsidP="00C1663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14:ligatures w14:val="standardContextual"/>
        </w:rPr>
      </w:pPr>
      <w:r w:rsidRPr="00663326">
        <w:rPr>
          <w:rFonts w:ascii="Times New Roman" w:eastAsiaTheme="minorHAnsi" w:hAnsi="Times New Roman"/>
          <w:color w:val="000000" w:themeColor="text1"/>
          <w14:ligatures w14:val="standardContextual"/>
        </w:rPr>
        <w:t xml:space="preserve"> Regulamentul (UE) nr. 241/2021 al Parlamentului European și al Consiliului din 12 februarie 2021 de instituire a Mecanismului de redresare și reziliență; </w:t>
      </w:r>
    </w:p>
    <w:p w14:paraId="52A142B6" w14:textId="77777777" w:rsidR="006E677F" w:rsidRPr="00663326" w:rsidRDefault="006E677F" w:rsidP="00C1663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14:ligatures w14:val="standardContextual"/>
        </w:rPr>
      </w:pPr>
      <w:r w:rsidRPr="00663326">
        <w:rPr>
          <w:rFonts w:ascii="Times New Roman" w:eastAsiaTheme="minorHAnsi" w:hAnsi="Times New Roman"/>
          <w:color w:val="000000" w:themeColor="text1"/>
          <w14:ligatures w14:val="standardContextual"/>
        </w:rPr>
        <w:t xml:space="preserve">Regulamentul Delegat (UE) 2021/2106 al Comisiei din 28 septembrie 2021 de completare a Regulamentului (UE) 2021/241 al Parlamentului European și al Consiliului de instituire a Mecanismului de redresare și reziliență prin stabilirea indicatorilor comuni și a elementelor detaliate ale tabloului de bord privind redresarea și reziliența; </w:t>
      </w:r>
    </w:p>
    <w:p w14:paraId="0F892C3E" w14:textId="77777777" w:rsidR="006E677F" w:rsidRPr="00663326" w:rsidRDefault="006E677F" w:rsidP="006E6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eastAsiaTheme="minorHAnsi" w:hAnsi="Times New Roman"/>
          <w:color w:val="000000" w:themeColor="text1"/>
          <w14:ligatures w14:val="standardContextual"/>
        </w:rPr>
      </w:pPr>
      <w:r w:rsidRPr="00663326">
        <w:rPr>
          <w:rFonts w:ascii="Times New Roman" w:eastAsiaTheme="minorHAnsi" w:hAnsi="Times New Roman"/>
          <w:color w:val="000000" w:themeColor="text1"/>
          <w14:ligatures w14:val="standardContextual"/>
        </w:rPr>
        <w:t xml:space="preserve">Hotărârea nr. 209/2022 pentru aprobarea Normelor metodologice de aplicare a prevederilor Ordonanței de urgență a Guvernului nr. 124/2021, privind stabilirea cadrului instituțional și financiar pentru gestionarea fondurilor europene alocate României prin Mecanismul de redresare și reziliență precum și pentru modificarea și completarea Ordonanței de urgență a Guvernului nr. 155/2020, privind unele măsuri pentru elaborarea Planului național de redresare și reziliență necesar României pentru accesarea de fonduri externe rambursabile și nerambursabile în cadrul Mecanismului de redresare și reziliență; </w:t>
      </w:r>
    </w:p>
    <w:p w14:paraId="1C72FE1F" w14:textId="77777777" w:rsidR="006E677F" w:rsidRPr="00663326" w:rsidRDefault="006E677F" w:rsidP="006E6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eastAsiaTheme="minorHAnsi" w:hAnsi="Times New Roman"/>
          <w:color w:val="000000" w:themeColor="text1"/>
          <w14:ligatures w14:val="standardContextual"/>
        </w:rPr>
      </w:pPr>
      <w:r w:rsidRPr="00663326">
        <w:rPr>
          <w:rFonts w:ascii="Times New Roman" w:eastAsiaTheme="minorHAnsi" w:hAnsi="Times New Roman"/>
          <w:color w:val="000000" w:themeColor="text1"/>
          <w14:ligatures w14:val="standardContextual"/>
        </w:rPr>
        <w:lastRenderedPageBreak/>
        <w:t xml:space="preserve">Ordonanța de urgență nr. 124/2021 privind stabilirea cadrului instituțional și financiar pentru gestionarea fondurilor europene alocate României prin Mecanismul de redresare și reziliență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reziliență; </w:t>
      </w:r>
    </w:p>
    <w:p w14:paraId="028BBC90" w14:textId="77777777" w:rsidR="006E677F" w:rsidRPr="00663326" w:rsidRDefault="006E677F" w:rsidP="006E677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11" w:line="240" w:lineRule="auto"/>
        <w:jc w:val="both"/>
        <w:rPr>
          <w:rFonts w:ascii="Times New Roman" w:eastAsiaTheme="minorHAnsi" w:hAnsi="Times New Roman"/>
          <w:color w:val="000000" w:themeColor="text1"/>
          <w14:ligatures w14:val="standardContextual"/>
        </w:rPr>
      </w:pPr>
      <w:r w:rsidRPr="00663326">
        <w:rPr>
          <w:rFonts w:ascii="Times New Roman" w:eastAsiaTheme="minorHAnsi" w:hAnsi="Times New Roman"/>
          <w:color w:val="000000" w:themeColor="text1"/>
          <w14:ligatures w14:val="standardContextual"/>
        </w:rPr>
        <w:t xml:space="preserve">OUG 70/2022 privind prevenirea, verificarea și constatarea neregulilor/dublei finanțări, a neregulilor grave apărute în obținerea și utilizarea fondurilor externe nerambursabile/rambursabile alocate României prin Mecanismul de redresare și reziliență și/sau a fondurilor publice naționale aferente acestora și recuperarea creanțelor rezultate; </w:t>
      </w:r>
    </w:p>
    <w:p w14:paraId="45CD96DC" w14:textId="77777777" w:rsidR="006E677F" w:rsidRPr="00663326" w:rsidRDefault="006E677F" w:rsidP="006E67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63326">
        <w:rPr>
          <w:rFonts w:ascii="Times New Roman" w:hAnsi="Times New Roman"/>
        </w:rPr>
        <w:t>Ordinului Ministerului Educației nr. 6423/19.12.2022 privind aprobarea Ghidului Solicitantului „Dotarea cu mobilier, materiale didactice și echipamente digitale a unităților de învățământ preuniversitar și a unităților conexe”;</w:t>
      </w:r>
    </w:p>
    <w:p w14:paraId="7B2158C0" w14:textId="77777777" w:rsidR="006E677F" w:rsidRPr="00663326" w:rsidRDefault="006E677F" w:rsidP="006E677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63326">
        <w:rPr>
          <w:rFonts w:ascii="Times New Roman" w:hAnsi="Times New Roman"/>
        </w:rPr>
        <w:t xml:space="preserve">Ordinului Ministerului Educației nr. 3674/14.02.2023 privind </w:t>
      </w:r>
      <w:proofErr w:type="spellStart"/>
      <w:r w:rsidRPr="00663326">
        <w:rPr>
          <w:rFonts w:ascii="Times New Roman" w:hAnsi="Times New Roman"/>
        </w:rPr>
        <w:t>Corrigendumul</w:t>
      </w:r>
      <w:proofErr w:type="spellEnd"/>
      <w:r w:rsidRPr="00663326">
        <w:rPr>
          <w:rFonts w:ascii="Times New Roman" w:hAnsi="Times New Roman"/>
        </w:rPr>
        <w:t xml:space="preserve"> nr. 1 al  Ghidului solicitantului „Dotarea cu mobilier, materiale didactice și echipamente digitale a unităților de învățământ preuniversitar și a unităților conexe”;</w:t>
      </w:r>
    </w:p>
    <w:p w14:paraId="4956C4FF" w14:textId="77777777" w:rsidR="006E677F" w:rsidRPr="00663326" w:rsidRDefault="006E677F" w:rsidP="006E6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lang w:val="en-US"/>
          <w14:ligatures w14:val="standardContextual"/>
        </w:rPr>
      </w:pPr>
    </w:p>
    <w:p w14:paraId="7016970B" w14:textId="77777777" w:rsidR="006E677F" w:rsidRPr="00663326" w:rsidRDefault="006E677F" w:rsidP="006E677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both"/>
        <w:rPr>
          <w:rFonts w:ascii="Times New Roman" w:eastAsia="Times New Roman" w:hAnsi="Times New Roman"/>
          <w:iCs/>
          <w:noProof/>
        </w:rPr>
      </w:pPr>
      <w:r w:rsidRPr="00663326">
        <w:rPr>
          <w:rFonts w:ascii="Times New Roman" w:eastAsia="Times New Roman" w:hAnsi="Times New Roman"/>
          <w:b/>
          <w:bCs/>
          <w:iCs/>
          <w:noProof/>
        </w:rPr>
        <w:t xml:space="preserve">În temeiul </w:t>
      </w:r>
      <w:r w:rsidRPr="00663326">
        <w:rPr>
          <w:rFonts w:ascii="Times New Roman" w:eastAsia="Times New Roman" w:hAnsi="Times New Roman"/>
          <w:noProof/>
          <w:lang w:eastAsia="ro-RO"/>
        </w:rPr>
        <w:t>art. 129 alin.(1), alin.(14), art.196, alin.(1), lit. „a” şi ale art. 243, alin. (1), lit. „a”  din OUG nr. 57/2019 privind Codul administrativ, cu modificările și completările ulterioare</w:t>
      </w:r>
    </w:p>
    <w:p w14:paraId="7361D0F4" w14:textId="28C5F08D" w:rsidR="00166241" w:rsidRDefault="006E677F" w:rsidP="002827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5"/>
        <w:jc w:val="both"/>
        <w:rPr>
          <w:rFonts w:ascii="Times New Roman" w:eastAsia="Times New Roman" w:hAnsi="Times New Roman"/>
          <w:b/>
          <w:bCs/>
          <w:noProof/>
          <w:color w:val="000000"/>
          <w:spacing w:val="-9"/>
          <w:sz w:val="26"/>
          <w:szCs w:val="26"/>
        </w:rPr>
      </w:pPr>
      <w:r w:rsidRPr="00663326">
        <w:rPr>
          <w:rFonts w:ascii="Times New Roman" w:eastAsia="Times New Roman" w:hAnsi="Times New Roman"/>
          <w:b/>
          <w:bCs/>
          <w:noProof/>
          <w:color w:val="000000"/>
          <w:spacing w:val="-9"/>
        </w:rPr>
        <w:t xml:space="preserve">                                              </w:t>
      </w:r>
    </w:p>
    <w:p w14:paraId="716DF3DD" w14:textId="7C9175D1" w:rsidR="006E677F" w:rsidRDefault="006E677F" w:rsidP="006E677F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6"/>
          <w:szCs w:val="26"/>
        </w:rPr>
      </w:pPr>
      <w:r w:rsidRPr="00CB2BEC">
        <w:rPr>
          <w:rFonts w:ascii="Times New Roman" w:eastAsia="Times New Roman" w:hAnsi="Times New Roman"/>
          <w:b/>
          <w:bCs/>
          <w:noProof/>
          <w:color w:val="000000"/>
          <w:spacing w:val="-9"/>
          <w:sz w:val="26"/>
          <w:szCs w:val="26"/>
        </w:rPr>
        <w:t>H o t ă r ă ş t e :</w:t>
      </w:r>
    </w:p>
    <w:p w14:paraId="22314858" w14:textId="77777777" w:rsidR="006E677F" w:rsidRPr="00663326" w:rsidRDefault="006E677F" w:rsidP="00D853E8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o-RO"/>
        </w:rPr>
      </w:pPr>
    </w:p>
    <w:p w14:paraId="2136960A" w14:textId="77777777" w:rsidR="007D3AF7" w:rsidRDefault="007D3AF7" w:rsidP="00CB2BEC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u w:val="single"/>
          <w:lang w:eastAsia="ro-RO"/>
        </w:rPr>
      </w:pPr>
    </w:p>
    <w:p w14:paraId="7F42E702" w14:textId="0FDBF83F" w:rsidR="007D3AF7" w:rsidRPr="001E0EC5" w:rsidRDefault="007D3AF7" w:rsidP="007D3AF7">
      <w:pPr>
        <w:spacing w:after="0" w:line="240" w:lineRule="auto"/>
        <w:jc w:val="both"/>
        <w:rPr>
          <w:rFonts w:ascii="Times New Roman" w:hAnsi="Times New Roman"/>
          <w:bCs/>
        </w:rPr>
      </w:pP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>I</w:t>
      </w:r>
      <w:r w:rsidRPr="00874966"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>.</w:t>
      </w:r>
      <w:r w:rsidRPr="00874966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Se aprobă </w:t>
      </w:r>
      <w:r>
        <w:rPr>
          <w:rFonts w:ascii="Times New Roman" w:eastAsia="Times New Roman" w:hAnsi="Times New Roman"/>
          <w:iCs/>
          <w:spacing w:val="-2"/>
          <w:sz w:val="24"/>
          <w:szCs w:val="24"/>
        </w:rPr>
        <w:t>modificarea</w:t>
      </w:r>
      <w:r w:rsidRPr="007D3AF7">
        <w:rPr>
          <w:rFonts w:ascii="Times New Roman" w:hAnsi="Times New Roman"/>
          <w:b/>
          <w:bCs/>
          <w:iCs/>
          <w:lang w:eastAsia="ro-RO"/>
        </w:rPr>
        <w:t xml:space="preserve"> </w:t>
      </w:r>
      <w:r w:rsidRPr="009F76DC">
        <w:rPr>
          <w:rFonts w:ascii="Times New Roman" w:hAnsi="Times New Roman"/>
          <w:b/>
          <w:bCs/>
          <w:iCs/>
          <w:lang w:eastAsia="ro-RO"/>
        </w:rPr>
        <w:t>Art.3. din HCL nr.</w:t>
      </w:r>
      <w:r w:rsidRPr="001E0EC5">
        <w:rPr>
          <w:rFonts w:ascii="Times New Roman" w:hAnsi="Times New Roman"/>
          <w:bCs/>
          <w:lang w:eastAsia="ro-RO"/>
        </w:rPr>
        <w:t xml:space="preserve"> </w:t>
      </w:r>
      <w:r w:rsidRPr="009F76DC">
        <w:rPr>
          <w:rFonts w:ascii="Times New Roman" w:hAnsi="Times New Roman"/>
          <w:b/>
          <w:lang w:eastAsia="ro-RO"/>
        </w:rPr>
        <w:t>100 din 30.03.2023 privind aprobarea</w:t>
      </w:r>
      <w:r>
        <w:rPr>
          <w:rFonts w:ascii="Times New Roman" w:hAnsi="Times New Roman"/>
          <w:bCs/>
          <w:lang w:eastAsia="ro-RO"/>
        </w:rPr>
        <w:t xml:space="preserve"> proiectului </w:t>
      </w:r>
      <w:r w:rsidRPr="00CB2BEC">
        <w:rPr>
          <w:rFonts w:ascii="Times New Roman" w:hAnsi="Times New Roman"/>
          <w:b/>
        </w:rPr>
        <w:t xml:space="preserve">„Dotarea cu mobilier, materiale didactice și echipamente digitale </w:t>
      </w:r>
      <w:r>
        <w:rPr>
          <w:rFonts w:ascii="Times New Roman" w:hAnsi="Times New Roman"/>
          <w:b/>
        </w:rPr>
        <w:t xml:space="preserve"> </w:t>
      </w:r>
      <w:r w:rsidRPr="00CB2BEC">
        <w:rPr>
          <w:rFonts w:ascii="Times New Roman" w:hAnsi="Times New Roman"/>
          <w:b/>
        </w:rPr>
        <w:t>a unităților de învățământ preuniversitar  din municipiul Târgu</w:t>
      </w:r>
      <w:r>
        <w:rPr>
          <w:rFonts w:ascii="Times New Roman" w:hAnsi="Times New Roman"/>
          <w:b/>
        </w:rPr>
        <w:t xml:space="preserve"> </w:t>
      </w:r>
      <w:r w:rsidRPr="00CB2BEC">
        <w:rPr>
          <w:rFonts w:ascii="Times New Roman" w:hAnsi="Times New Roman"/>
          <w:b/>
        </w:rPr>
        <w:t>Mureș”</w:t>
      </w:r>
      <w:r>
        <w:rPr>
          <w:rFonts w:ascii="Times New Roman" w:hAnsi="Times New Roman"/>
          <w:bCs/>
        </w:rPr>
        <w:t xml:space="preserve"> </w:t>
      </w:r>
      <w:r w:rsidRPr="00663326">
        <w:rPr>
          <w:rFonts w:ascii="Times New Roman" w:hAnsi="Times New Roman"/>
          <w:w w:val="95"/>
        </w:rPr>
        <w:t>in</w:t>
      </w:r>
      <w:r w:rsidRPr="00663326">
        <w:rPr>
          <w:rFonts w:ascii="Times New Roman" w:hAnsi="Times New Roman"/>
          <w:spacing w:val="7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cadrul</w:t>
      </w:r>
      <w:r w:rsidRPr="00663326">
        <w:rPr>
          <w:rFonts w:ascii="Times New Roman" w:hAnsi="Times New Roman"/>
          <w:spacing w:val="34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apelurilor</w:t>
      </w:r>
      <w:r w:rsidRPr="00663326">
        <w:rPr>
          <w:rFonts w:ascii="Times New Roman" w:hAnsi="Times New Roman"/>
          <w:spacing w:val="26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de</w:t>
      </w:r>
      <w:r w:rsidRPr="00663326">
        <w:rPr>
          <w:rFonts w:ascii="Times New Roman" w:hAnsi="Times New Roman"/>
          <w:spacing w:val="18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proiecte</w:t>
      </w:r>
      <w:r w:rsidRPr="00663326">
        <w:rPr>
          <w:rFonts w:ascii="Times New Roman" w:hAnsi="Times New Roman"/>
          <w:spacing w:val="24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cu</w:t>
      </w:r>
      <w:r w:rsidRPr="00663326">
        <w:rPr>
          <w:rFonts w:ascii="Times New Roman" w:hAnsi="Times New Roman"/>
          <w:spacing w:val="22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>titlul</w:t>
      </w:r>
      <w:r w:rsidRPr="00663326">
        <w:rPr>
          <w:rFonts w:ascii="Times New Roman" w:hAnsi="Times New Roman"/>
          <w:spacing w:val="1"/>
          <w:w w:val="95"/>
        </w:rPr>
        <w:t xml:space="preserve"> </w:t>
      </w:r>
      <w:r w:rsidRPr="00663326">
        <w:rPr>
          <w:rFonts w:ascii="Times New Roman" w:hAnsi="Times New Roman"/>
          <w:w w:val="95"/>
        </w:rPr>
        <w:t xml:space="preserve"> </w:t>
      </w:r>
      <w:r w:rsidRPr="00663326">
        <w:rPr>
          <w:rFonts w:ascii="Times New Roman" w:eastAsia="Times New Roman" w:hAnsi="Times New Roman"/>
          <w:lang w:eastAsia="ro-RO"/>
        </w:rPr>
        <w:t>PNRR/2022/C15/MEDU/I9./I11./I13./I14</w:t>
      </w:r>
      <w:r>
        <w:rPr>
          <w:rFonts w:ascii="Times New Roman" w:eastAsia="Times New Roman" w:hAnsi="Times New Roman"/>
          <w:lang w:eastAsia="ro-RO"/>
        </w:rPr>
        <w:t xml:space="preserve"> -</w:t>
      </w:r>
      <w:r w:rsidRPr="00663326">
        <w:rPr>
          <w:rFonts w:ascii="Times New Roman" w:eastAsia="Times New Roman" w:hAnsi="Times New Roman"/>
          <w:lang w:eastAsia="ro-RO"/>
        </w:rPr>
        <w:t>Dotarea cu mobilier, materiale didactice și echipamente digitale a unităților de învățământ preuniversitar și a unităților conexe</w:t>
      </w:r>
      <w:r>
        <w:rPr>
          <w:rFonts w:ascii="Times New Roman" w:eastAsia="Times New Roman" w:hAnsi="Times New Roman"/>
          <w:lang w:eastAsia="ro-RO"/>
        </w:rPr>
        <w:t xml:space="preserve">, </w:t>
      </w:r>
      <w:r>
        <w:rPr>
          <w:rFonts w:ascii="Times New Roman" w:eastAsia="Times New Roman" w:hAnsi="Times New Roman"/>
          <w:iCs/>
          <w:spacing w:val="-2"/>
          <w:sz w:val="24"/>
          <w:szCs w:val="24"/>
        </w:rPr>
        <w:t>care va avea următorul cuprins:</w:t>
      </w:r>
    </w:p>
    <w:p w14:paraId="591FA5E8" w14:textId="44A53CCD" w:rsidR="007D3AF7" w:rsidRDefault="007D3AF7" w:rsidP="00CB2BEC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u w:val="single"/>
          <w:lang w:eastAsia="ro-RO"/>
        </w:rPr>
      </w:pPr>
    </w:p>
    <w:p w14:paraId="740BD3F2" w14:textId="37E798F6" w:rsidR="006E677F" w:rsidRPr="00663326" w:rsidRDefault="006E677F" w:rsidP="00CB2BEC">
      <w:pPr>
        <w:spacing w:after="0"/>
        <w:ind w:left="567" w:hanging="567"/>
        <w:jc w:val="both"/>
        <w:rPr>
          <w:rFonts w:ascii="Times New Roman" w:hAnsi="Times New Roman"/>
          <w:bCs/>
          <w:lang w:eastAsia="ro-RO"/>
        </w:rPr>
      </w:pPr>
      <w:r w:rsidRPr="00663326">
        <w:rPr>
          <w:rFonts w:ascii="Times New Roman" w:hAnsi="Times New Roman"/>
          <w:b/>
          <w:bCs/>
          <w:u w:val="single"/>
          <w:lang w:eastAsia="ro-RO"/>
        </w:rPr>
        <w:t>Art.3.</w:t>
      </w:r>
      <w:r w:rsidRPr="00663326">
        <w:rPr>
          <w:rFonts w:ascii="Times New Roman" w:hAnsi="Times New Roman"/>
          <w:bCs/>
          <w:lang w:eastAsia="ro-RO"/>
        </w:rPr>
        <w:t xml:space="preserve"> Se aprobă cheltuielile eligibile și neeligibile legate de proiectul </w:t>
      </w:r>
      <w:r w:rsidRPr="00663326">
        <w:rPr>
          <w:rFonts w:ascii="Times New Roman" w:hAnsi="Times New Roman"/>
          <w:b/>
          <w:lang w:eastAsia="ro-RO"/>
        </w:rPr>
        <w:t>„</w:t>
      </w:r>
      <w:r w:rsidRPr="00663326">
        <w:rPr>
          <w:rFonts w:ascii="Times New Roman" w:hAnsi="Times New Roman"/>
          <w:bCs/>
          <w:lang w:eastAsia="ro-RO"/>
        </w:rPr>
        <w:t>Dotarea cu mobilier, materiale didactice și echipamente digitale a unităților de învățământ preuniversitar, municipiul Târgu-Mureș</w:t>
      </w:r>
      <w:r w:rsidRPr="00663326">
        <w:rPr>
          <w:rFonts w:ascii="Times New Roman" w:hAnsi="Times New Roman"/>
          <w:b/>
          <w:lang w:eastAsia="ro-RO"/>
        </w:rPr>
        <w:t>”</w:t>
      </w:r>
      <w:r w:rsidRPr="00663326">
        <w:rPr>
          <w:rFonts w:ascii="Times New Roman" w:hAnsi="Times New Roman"/>
          <w:bCs/>
          <w:lang w:eastAsia="ro-RO"/>
        </w:rPr>
        <w:t>, și anume</w:t>
      </w:r>
      <w:r w:rsidR="00B45C0E">
        <w:rPr>
          <w:rFonts w:ascii="Times New Roman" w:hAnsi="Times New Roman"/>
          <w:bCs/>
          <w:lang w:eastAsia="ro-RO"/>
        </w:rPr>
        <w:t>:</w:t>
      </w:r>
    </w:p>
    <w:p w14:paraId="7C50AA20" w14:textId="5E8CF108" w:rsidR="006E677F" w:rsidRDefault="006E677F" w:rsidP="006E677F">
      <w:pPr>
        <w:suppressAutoHyphens/>
        <w:spacing w:after="0" w:line="240" w:lineRule="auto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noProof/>
          <w:spacing w:val="1"/>
          <w:u w:val="single"/>
        </w:rPr>
      </w:pPr>
    </w:p>
    <w:tbl>
      <w:tblPr>
        <w:tblW w:w="5191" w:type="dxa"/>
        <w:tblInd w:w="1653" w:type="dxa"/>
        <w:tblLook w:val="04A0" w:firstRow="1" w:lastRow="0" w:firstColumn="1" w:lastColumn="0" w:noHBand="0" w:noVBand="1"/>
      </w:tblPr>
      <w:tblGrid>
        <w:gridCol w:w="580"/>
        <w:gridCol w:w="3340"/>
        <w:gridCol w:w="1271"/>
      </w:tblGrid>
      <w:tr w:rsidR="00C959C0" w:rsidRPr="00C959C0" w14:paraId="566734C0" w14:textId="77777777" w:rsidTr="00BA364D">
        <w:trPr>
          <w:trHeight w:val="2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A5492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3EBA" w14:textId="77777777" w:rsidR="00C959C0" w:rsidRPr="00C959C0" w:rsidRDefault="00C959C0" w:rsidP="00BA364D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eligibil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24FAB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40.362.049,23</w:t>
            </w:r>
          </w:p>
        </w:tc>
      </w:tr>
      <w:tr w:rsidR="00C959C0" w:rsidRPr="00C959C0" w14:paraId="08BE7BEA" w14:textId="77777777" w:rsidTr="00BA364D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F9D97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D7CA6" w14:textId="77777777" w:rsidR="00C959C0" w:rsidRPr="00C959C0" w:rsidRDefault="00C959C0" w:rsidP="00BA364D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eligibilă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3E17F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7.668.789,39</w:t>
            </w:r>
          </w:p>
        </w:tc>
      </w:tr>
      <w:tr w:rsidR="00C959C0" w:rsidRPr="00C959C0" w14:paraId="2420F61D" w14:textId="77777777" w:rsidTr="00BA364D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6B05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A5C55" w14:textId="77777777" w:rsidR="00C959C0" w:rsidRPr="00C959C0" w:rsidRDefault="00C959C0" w:rsidP="00BA364D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suplimentare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neeligibil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50797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154.416,41</w:t>
            </w:r>
          </w:p>
        </w:tc>
      </w:tr>
      <w:tr w:rsidR="00C959C0" w:rsidRPr="00C959C0" w14:paraId="358E6660" w14:textId="77777777" w:rsidTr="00BA364D">
        <w:trPr>
          <w:trHeight w:val="150"/>
        </w:trPr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F8E6A3D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959C0" w:rsidRPr="00C959C0" w14:paraId="544B1680" w14:textId="77777777" w:rsidTr="00BA364D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3DE7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4.1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59644" w14:textId="77777777" w:rsidR="00C959C0" w:rsidRPr="00C959C0" w:rsidRDefault="00C959C0" w:rsidP="00BA364D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eligibil</w:t>
            </w:r>
            <w:proofErr w:type="spellEnd"/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cu TVA (1+2)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9641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48.030.838,62</w:t>
            </w:r>
          </w:p>
        </w:tc>
      </w:tr>
      <w:tr w:rsidR="00C959C0" w:rsidRPr="00C959C0" w14:paraId="4C8E4591" w14:textId="77777777" w:rsidTr="00BA364D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B1300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4.2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4D36C" w14:textId="77777777" w:rsidR="00C959C0" w:rsidRPr="00C959C0" w:rsidRDefault="00C959C0" w:rsidP="00BA364D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eligibil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+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neeligibil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cu TVA (1+2+3)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FA9B4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48.185.255,03</w:t>
            </w:r>
          </w:p>
        </w:tc>
      </w:tr>
      <w:tr w:rsidR="00C959C0" w:rsidRPr="00C959C0" w14:paraId="38FFC29C" w14:textId="77777777" w:rsidTr="00BA364D">
        <w:trPr>
          <w:trHeight w:val="165"/>
        </w:trPr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0FAA2A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959C0" w:rsidRPr="00C959C0" w14:paraId="4AE15468" w14:textId="77777777" w:rsidTr="00BA364D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9ABC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03C0" w14:textId="77777777" w:rsidR="00C959C0" w:rsidRPr="00C959C0" w:rsidRDefault="00C959C0" w:rsidP="00BA364D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neeligibil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TVA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6B457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256.390,00</w:t>
            </w:r>
          </w:p>
        </w:tc>
      </w:tr>
      <w:tr w:rsidR="00C959C0" w:rsidRPr="00C959C0" w14:paraId="37F00B9B" w14:textId="77777777" w:rsidTr="00BA364D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FFBB6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85E78" w14:textId="77777777" w:rsidR="00C959C0" w:rsidRPr="00C959C0" w:rsidRDefault="00C959C0" w:rsidP="00BA364D">
            <w:pPr>
              <w:spacing w:after="0" w:line="240" w:lineRule="auto"/>
              <w:ind w:firstLineChars="100" w:firstLine="180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TVA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pentru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valoare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neeligibilă</w:t>
            </w:r>
            <w:proofErr w:type="spellEnd"/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CE3E8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53.841,90</w:t>
            </w:r>
          </w:p>
        </w:tc>
      </w:tr>
      <w:tr w:rsidR="00C959C0" w:rsidRPr="00C959C0" w14:paraId="0DAB330D" w14:textId="77777777" w:rsidTr="00BA364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1600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AA590" w14:textId="77777777" w:rsidR="00C959C0" w:rsidRPr="00C959C0" w:rsidRDefault="00C959C0" w:rsidP="00BA364D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neeligibil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cu TVA (5+6)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E5B8F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310.231,90</w:t>
            </w:r>
          </w:p>
        </w:tc>
      </w:tr>
      <w:tr w:rsidR="00C959C0" w:rsidRPr="00C959C0" w14:paraId="49F185A1" w14:textId="77777777" w:rsidTr="00BA364D">
        <w:trPr>
          <w:trHeight w:val="120"/>
        </w:trPr>
        <w:tc>
          <w:tcPr>
            <w:tcW w:w="5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D232BD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  <w:t> </w:t>
            </w:r>
          </w:p>
        </w:tc>
      </w:tr>
      <w:tr w:rsidR="00C959C0" w:rsidRPr="00C959C0" w14:paraId="715A984B" w14:textId="77777777" w:rsidTr="00BA364D">
        <w:trPr>
          <w:trHeight w:val="2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04CD3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249B" w14:textId="77777777" w:rsidR="00C959C0" w:rsidRPr="00C959C0" w:rsidRDefault="00C959C0" w:rsidP="00BA364D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proiect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fără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TVA (1+5)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FBA4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40.618.439,23</w:t>
            </w:r>
          </w:p>
        </w:tc>
      </w:tr>
      <w:tr w:rsidR="00C959C0" w:rsidRPr="00C959C0" w14:paraId="6CD533A6" w14:textId="77777777" w:rsidTr="00BA364D">
        <w:trPr>
          <w:trHeight w:val="2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16DA8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9BF9" w14:textId="77777777" w:rsidR="00C959C0" w:rsidRPr="00C959C0" w:rsidRDefault="00C959C0" w:rsidP="00BA364D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TVA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proiect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(2+3+6)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48669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7.877.047,70</w:t>
            </w:r>
          </w:p>
        </w:tc>
      </w:tr>
      <w:tr w:rsidR="00C959C0" w:rsidRPr="00C959C0" w14:paraId="4153CD24" w14:textId="77777777" w:rsidTr="00BA364D">
        <w:trPr>
          <w:trHeight w:val="218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B4869" w14:textId="77777777" w:rsidR="00C959C0" w:rsidRPr="00C959C0" w:rsidRDefault="00C959C0" w:rsidP="00BA364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CD91" w14:textId="77777777" w:rsidR="00C959C0" w:rsidRPr="00C959C0" w:rsidRDefault="00C959C0" w:rsidP="00BA364D">
            <w:pPr>
              <w:spacing w:after="0" w:line="240" w:lineRule="auto"/>
              <w:ind w:firstLineChars="100" w:firstLine="181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proiect</w:t>
            </w:r>
            <w:proofErr w:type="spellEnd"/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 xml:space="preserve"> cu TVA (8+9)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C2352" w14:textId="77777777" w:rsidR="00C959C0" w:rsidRPr="00C959C0" w:rsidRDefault="00C959C0" w:rsidP="00BA364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959C0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en-US"/>
              </w:rPr>
              <w:t>48.495.486,93</w:t>
            </w:r>
          </w:p>
        </w:tc>
      </w:tr>
    </w:tbl>
    <w:p w14:paraId="3EC9B76D" w14:textId="77777777" w:rsidR="007D3AF7" w:rsidRDefault="007D3AF7" w:rsidP="006E677F">
      <w:pPr>
        <w:suppressAutoHyphens/>
        <w:spacing w:after="0" w:line="240" w:lineRule="auto"/>
        <w:ind w:firstLine="851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noProof/>
          <w:spacing w:val="1"/>
          <w:u w:val="single"/>
        </w:rPr>
      </w:pPr>
    </w:p>
    <w:p w14:paraId="6007A26F" w14:textId="372B5BB9" w:rsidR="00CB2BEC" w:rsidRDefault="007D3AF7" w:rsidP="007D3AF7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iCs/>
          <w:spacing w:val="-2"/>
          <w:sz w:val="24"/>
          <w:szCs w:val="24"/>
        </w:rPr>
      </w:pPr>
      <w:bookmarkStart w:id="11" w:name="_Hlk213665251"/>
      <w:r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>ART. II.</w:t>
      </w:r>
      <w:r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bookmarkEnd w:id="11"/>
      <w:r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Restul prevederilor Hotărârii Consiliului Local nr. </w:t>
      </w:r>
      <w:r w:rsidRPr="007D3AF7">
        <w:rPr>
          <w:rFonts w:ascii="Times New Roman" w:eastAsia="Times New Roman" w:hAnsi="Times New Roman"/>
          <w:bCs/>
          <w:iCs/>
          <w:spacing w:val="-2"/>
          <w:sz w:val="24"/>
          <w:szCs w:val="24"/>
        </w:rPr>
        <w:t>100 din 30.03.2023</w:t>
      </w:r>
      <w:r>
        <w:rPr>
          <w:rFonts w:ascii="Times New Roman" w:eastAsia="Times New Roman" w:hAnsi="Times New Roman"/>
          <w:iCs/>
          <w:spacing w:val="-2"/>
          <w:sz w:val="24"/>
          <w:szCs w:val="24"/>
        </w:rPr>
        <w:t>, rămân neschimbate.</w:t>
      </w:r>
    </w:p>
    <w:p w14:paraId="36D4AF2A" w14:textId="77777777" w:rsidR="007D3AF7" w:rsidRPr="00663326" w:rsidRDefault="007D3AF7" w:rsidP="007D3AF7">
      <w:pPr>
        <w:suppressAutoHyphens/>
        <w:spacing w:after="0" w:line="240" w:lineRule="auto"/>
        <w:jc w:val="both"/>
        <w:textDirection w:val="btLr"/>
        <w:textAlignment w:val="top"/>
        <w:outlineLvl w:val="0"/>
        <w:rPr>
          <w:rFonts w:ascii="Times New Roman" w:eastAsia="Times New Roman" w:hAnsi="Times New Roman"/>
          <w:b/>
          <w:bCs/>
          <w:noProof/>
          <w:spacing w:val="1"/>
          <w:u w:val="single"/>
        </w:rPr>
      </w:pPr>
    </w:p>
    <w:p w14:paraId="42FA204D" w14:textId="77777777" w:rsidR="00064BE6" w:rsidRDefault="007D3AF7" w:rsidP="00CB2BEC">
      <w:pPr>
        <w:widowControl w:val="0"/>
        <w:tabs>
          <w:tab w:val="left" w:pos="-720"/>
        </w:tabs>
        <w:suppressAutoHyphens/>
        <w:spacing w:after="0"/>
        <w:ind w:left="709" w:hanging="709"/>
        <w:jc w:val="both"/>
        <w:rPr>
          <w:rFonts w:ascii="Times New Roman" w:eastAsia="Times New Roman" w:hAnsi="Times New Roman"/>
          <w:bCs/>
          <w:noProof/>
          <w:spacing w:val="-2"/>
        </w:rPr>
      </w:pPr>
      <w:r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>ART. III.</w:t>
      </w:r>
      <w:r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r w:rsidR="006E677F" w:rsidRPr="00663326">
        <w:rPr>
          <w:rFonts w:ascii="Times New Roman" w:eastAsia="Times New Roman" w:hAnsi="Times New Roman"/>
          <w:bCs/>
          <w:noProof/>
          <w:spacing w:val="-2"/>
        </w:rPr>
        <w:t xml:space="preserve">Cu aducere spre îndeplinire a prezentei hotărâri se încredinţează Executivul Municipiului Târgu </w:t>
      </w:r>
    </w:p>
    <w:p w14:paraId="32750BF5" w14:textId="77777777" w:rsidR="00064BE6" w:rsidRDefault="006E677F" w:rsidP="00CB2BEC">
      <w:pPr>
        <w:widowControl w:val="0"/>
        <w:tabs>
          <w:tab w:val="left" w:pos="-720"/>
        </w:tabs>
        <w:suppressAutoHyphens/>
        <w:spacing w:after="0"/>
        <w:ind w:left="709" w:hanging="709"/>
        <w:jc w:val="both"/>
        <w:rPr>
          <w:rFonts w:ascii="Times New Roman" w:eastAsia="Times New Roman" w:hAnsi="Times New Roman"/>
          <w:bCs/>
          <w:noProof/>
          <w:spacing w:val="-2"/>
        </w:rPr>
      </w:pPr>
      <w:r w:rsidRPr="00663326">
        <w:rPr>
          <w:rFonts w:ascii="Times New Roman" w:eastAsia="Times New Roman" w:hAnsi="Times New Roman"/>
          <w:bCs/>
          <w:noProof/>
          <w:spacing w:val="-2"/>
        </w:rPr>
        <w:t xml:space="preserve">Mureş, prin Direcţia Economică, </w:t>
      </w:r>
      <w:bookmarkStart w:id="12" w:name="_Hlk213750526"/>
      <w:r w:rsidRPr="00663326">
        <w:rPr>
          <w:rFonts w:ascii="Times New Roman" w:eastAsia="Times New Roman" w:hAnsi="Times New Roman"/>
          <w:bCs/>
          <w:noProof/>
          <w:spacing w:val="-2"/>
        </w:rPr>
        <w:t>Direcţia Proiecte cu Finanţare Internaţională, Resurse Umane, Relaţii cu</w:t>
      </w:r>
    </w:p>
    <w:p w14:paraId="1035D6E0" w14:textId="10B6089C" w:rsidR="006E677F" w:rsidRDefault="006E677F" w:rsidP="00CB2BEC">
      <w:pPr>
        <w:widowControl w:val="0"/>
        <w:tabs>
          <w:tab w:val="left" w:pos="-720"/>
        </w:tabs>
        <w:suppressAutoHyphens/>
        <w:spacing w:after="0"/>
        <w:ind w:left="709" w:hanging="709"/>
        <w:jc w:val="both"/>
        <w:rPr>
          <w:rFonts w:ascii="Times New Roman" w:eastAsia="Times New Roman" w:hAnsi="Times New Roman"/>
          <w:bCs/>
          <w:noProof/>
          <w:spacing w:val="-2"/>
        </w:rPr>
      </w:pPr>
      <w:r w:rsidRPr="00663326">
        <w:rPr>
          <w:rFonts w:ascii="Times New Roman" w:eastAsia="Times New Roman" w:hAnsi="Times New Roman"/>
          <w:bCs/>
          <w:noProof/>
          <w:spacing w:val="-2"/>
        </w:rPr>
        <w:t xml:space="preserve"> Publicul şi Logistică</w:t>
      </w:r>
      <w:bookmarkEnd w:id="12"/>
      <w:r w:rsidRPr="00663326">
        <w:rPr>
          <w:rFonts w:ascii="Times New Roman" w:eastAsia="Times New Roman" w:hAnsi="Times New Roman"/>
          <w:bCs/>
          <w:noProof/>
          <w:spacing w:val="-2"/>
        </w:rPr>
        <w:t>,  Direcția Școlii</w:t>
      </w:r>
      <w:r w:rsidR="007D3AF7">
        <w:rPr>
          <w:rFonts w:ascii="Times New Roman" w:eastAsia="Times New Roman" w:hAnsi="Times New Roman"/>
          <w:bCs/>
          <w:noProof/>
          <w:spacing w:val="-2"/>
        </w:rPr>
        <w:t>.</w:t>
      </w:r>
    </w:p>
    <w:p w14:paraId="58F8C560" w14:textId="77777777" w:rsidR="007D3AF7" w:rsidRPr="00663326" w:rsidRDefault="007D3AF7" w:rsidP="00CB2BEC">
      <w:pPr>
        <w:widowControl w:val="0"/>
        <w:tabs>
          <w:tab w:val="left" w:pos="-720"/>
        </w:tabs>
        <w:suppressAutoHyphens/>
        <w:spacing w:after="0"/>
        <w:ind w:left="709" w:hanging="709"/>
        <w:jc w:val="both"/>
        <w:rPr>
          <w:rFonts w:ascii="Times New Roman" w:eastAsia="Times New Roman" w:hAnsi="Times New Roman"/>
          <w:bCs/>
          <w:noProof/>
          <w:spacing w:val="-2"/>
        </w:rPr>
      </w:pPr>
    </w:p>
    <w:p w14:paraId="1D720F6A" w14:textId="6743F1BC" w:rsidR="007D3AF7" w:rsidRPr="007D3AF7" w:rsidRDefault="007D3AF7" w:rsidP="007D3AF7">
      <w:pPr>
        <w:pStyle w:val="FootnoteText"/>
        <w:jc w:val="both"/>
        <w:rPr>
          <w:rFonts w:ascii="Times New Roman" w:eastAsia="Times New Roman" w:hAnsi="Times New Roman"/>
          <w:iCs/>
          <w:spacing w:val="-2"/>
          <w:sz w:val="24"/>
          <w:szCs w:val="24"/>
        </w:rPr>
      </w:pPr>
      <w:bookmarkStart w:id="13" w:name="_Hlk213665288"/>
      <w:r w:rsidRPr="007D3AF7"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>ART. IV</w:t>
      </w:r>
      <w:bookmarkEnd w:id="13"/>
      <w:r w:rsidRPr="007D3AF7"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 xml:space="preserve">.  </w:t>
      </w:r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În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conformitate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cu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prevederile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art. 252,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alin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. 1, lit. c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şi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ale art. 255 din O.U.G. nr. 57/2019 privind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Codul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Administrativ precum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şi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ale art. 3,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alin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. 1 din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Legea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nr. 554/2004, privind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contenciosul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administrativ,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prezenta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Hotărâre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se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înaintează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Prefectului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Judeţului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Mureş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pentru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exercitarea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controlului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 xml:space="preserve"> de </w:t>
      </w:r>
      <w:proofErr w:type="spellStart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legalitate</w:t>
      </w:r>
      <w:proofErr w:type="spellEnd"/>
      <w:r w:rsidRPr="007D3AF7">
        <w:rPr>
          <w:rFonts w:ascii="Times New Roman" w:eastAsia="Times New Roman" w:hAnsi="Times New Roman"/>
          <w:iCs/>
          <w:spacing w:val="-2"/>
          <w:sz w:val="24"/>
          <w:szCs w:val="24"/>
        </w:rPr>
        <w:t>.</w:t>
      </w:r>
    </w:p>
    <w:p w14:paraId="40B74228" w14:textId="3BC60443" w:rsidR="00CB2BEC" w:rsidRPr="00663326" w:rsidRDefault="00CB2BEC" w:rsidP="00CB2BEC">
      <w:pPr>
        <w:widowControl w:val="0"/>
        <w:tabs>
          <w:tab w:val="left" w:pos="-720"/>
        </w:tabs>
        <w:suppressAutoHyphens/>
        <w:spacing w:after="0"/>
        <w:ind w:left="709" w:hanging="709"/>
        <w:jc w:val="both"/>
        <w:rPr>
          <w:rFonts w:ascii="Times New Roman" w:eastAsia="Times New Roman" w:hAnsi="Times New Roman"/>
          <w:noProof/>
        </w:rPr>
      </w:pPr>
    </w:p>
    <w:p w14:paraId="7F6DB34D" w14:textId="16EE854D" w:rsidR="006E677F" w:rsidRPr="00663326" w:rsidRDefault="007D3AF7" w:rsidP="00CB2BEC">
      <w:pPr>
        <w:widowControl w:val="0"/>
        <w:tabs>
          <w:tab w:val="left" w:pos="-720"/>
        </w:tabs>
        <w:suppressAutoHyphens/>
        <w:spacing w:after="0"/>
        <w:ind w:left="709" w:hanging="709"/>
        <w:jc w:val="both"/>
        <w:rPr>
          <w:rFonts w:ascii="Times New Roman" w:eastAsia="Times New Roman" w:hAnsi="Times New Roman"/>
          <w:noProof/>
        </w:rPr>
      </w:pPr>
      <w:r w:rsidRPr="007D3AF7">
        <w:rPr>
          <w:rFonts w:ascii="Times New Roman" w:eastAsia="Times New Roman" w:hAnsi="Times New Roman"/>
          <w:b/>
          <w:iCs/>
          <w:spacing w:val="-2"/>
          <w:sz w:val="24"/>
          <w:szCs w:val="24"/>
        </w:rPr>
        <w:t>ART. V</w:t>
      </w:r>
      <w:r w:rsidR="006E677F" w:rsidRPr="00663326">
        <w:rPr>
          <w:rFonts w:ascii="Times New Roman" w:eastAsia="Times New Roman" w:hAnsi="Times New Roman"/>
          <w:b/>
          <w:bCs/>
          <w:noProof/>
        </w:rPr>
        <w:t>.</w:t>
      </w:r>
      <w:r w:rsidR="006E677F" w:rsidRPr="00663326">
        <w:rPr>
          <w:rFonts w:ascii="Times New Roman" w:eastAsia="Times New Roman" w:hAnsi="Times New Roman"/>
          <w:noProof/>
        </w:rPr>
        <w:t xml:space="preserve"> Prezenta hotărâre se comunică:</w:t>
      </w:r>
    </w:p>
    <w:p w14:paraId="2E847C0C" w14:textId="77777777" w:rsidR="006E677F" w:rsidRPr="00663326" w:rsidRDefault="006E677F" w:rsidP="00CB2BEC">
      <w:pPr>
        <w:widowControl w:val="0"/>
        <w:tabs>
          <w:tab w:val="left" w:pos="-720"/>
        </w:tabs>
        <w:suppressAutoHyphens/>
        <w:spacing w:after="0"/>
        <w:ind w:left="567"/>
        <w:jc w:val="both"/>
        <w:rPr>
          <w:rFonts w:ascii="Times New Roman" w:eastAsia="Times New Roman" w:hAnsi="Times New Roman"/>
          <w:noProof/>
        </w:rPr>
      </w:pPr>
      <w:r w:rsidRPr="00663326">
        <w:rPr>
          <w:rFonts w:ascii="Times New Roman" w:eastAsia="Times New Roman" w:hAnsi="Times New Roman"/>
          <w:noProof/>
        </w:rPr>
        <w:t xml:space="preserve">- Direcției Proiecte cu Finanțare Internațională, Resurse Umane, Relații cu Publicul și Logistică, </w:t>
      </w:r>
    </w:p>
    <w:p w14:paraId="2B97A191" w14:textId="77777777" w:rsidR="006E677F" w:rsidRPr="00663326" w:rsidRDefault="006E677F" w:rsidP="00CB2BEC">
      <w:pPr>
        <w:widowControl w:val="0"/>
        <w:tabs>
          <w:tab w:val="left" w:pos="-720"/>
        </w:tabs>
        <w:suppressAutoHyphens/>
        <w:spacing w:after="0"/>
        <w:ind w:left="567"/>
        <w:jc w:val="both"/>
        <w:rPr>
          <w:rFonts w:ascii="Times New Roman" w:eastAsia="Times New Roman" w:hAnsi="Times New Roman"/>
          <w:noProof/>
        </w:rPr>
      </w:pPr>
      <w:r w:rsidRPr="00663326">
        <w:rPr>
          <w:rFonts w:ascii="Times New Roman" w:eastAsia="Times New Roman" w:hAnsi="Times New Roman"/>
          <w:noProof/>
        </w:rPr>
        <w:t>- Direcției Economice,</w:t>
      </w:r>
    </w:p>
    <w:p w14:paraId="731DFCE8" w14:textId="77777777" w:rsidR="006E677F" w:rsidRPr="00663326" w:rsidRDefault="006E677F" w:rsidP="006E677F">
      <w:pPr>
        <w:widowControl w:val="0"/>
        <w:tabs>
          <w:tab w:val="left" w:pos="-720"/>
        </w:tabs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  <w:noProof/>
        </w:rPr>
      </w:pPr>
      <w:r w:rsidRPr="00663326">
        <w:rPr>
          <w:rFonts w:ascii="Times New Roman" w:eastAsia="Times New Roman" w:hAnsi="Times New Roman"/>
          <w:noProof/>
        </w:rPr>
        <w:t>- Direcției Școli.</w:t>
      </w:r>
    </w:p>
    <w:p w14:paraId="28476B4A" w14:textId="31544723" w:rsidR="006E677F" w:rsidRDefault="006E677F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</w:t>
      </w:r>
      <w:r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 xml:space="preserve">     </w:t>
      </w:r>
    </w:p>
    <w:p w14:paraId="15A64370" w14:textId="77777777" w:rsidR="00CB2BEC" w:rsidRDefault="00CB2BEC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131E4DD1" w14:textId="77777777" w:rsidR="00CB2BEC" w:rsidRDefault="00CB2BEC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5B0ABE18" w14:textId="77777777" w:rsidR="00CB2BEC" w:rsidRDefault="00CB2BEC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2E398D24" w14:textId="0C9C1628" w:rsidR="006E677F" w:rsidRPr="00957110" w:rsidRDefault="006E677F" w:rsidP="006E677F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  <w:r w:rsidRPr="00957110"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  <w:t>Viză de legalitate</w:t>
      </w:r>
      <w:r w:rsidRPr="00957110">
        <w:rPr>
          <w:rFonts w:ascii="Times New Roman" w:eastAsia="Times New Roman" w:hAnsi="Times New Roman"/>
          <w:b/>
          <w:bCs/>
          <w:noProof/>
          <w:color w:val="040408"/>
          <w:sz w:val="24"/>
          <w:szCs w:val="24"/>
          <w:lang w:eastAsia="ro-RO" w:bidi="he-IL"/>
        </w:rPr>
        <w:t>,</w:t>
      </w:r>
    </w:p>
    <w:p w14:paraId="70E86B07" w14:textId="1C967C9C" w:rsidR="006E677F" w:rsidRPr="00957110" w:rsidRDefault="006E677F" w:rsidP="006E677F">
      <w:pPr>
        <w:spacing w:after="0" w:line="240" w:lineRule="auto"/>
        <w:ind w:left="144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 xml:space="preserve">     Secretarul </w:t>
      </w:r>
      <w:r w:rsidR="00CB2BEC">
        <w:rPr>
          <w:rFonts w:ascii="Times New Roman" w:eastAsia="Times New Roman" w:hAnsi="Times New Roman"/>
          <w:b/>
          <w:noProof/>
          <w:sz w:val="24"/>
          <w:szCs w:val="24"/>
        </w:rPr>
        <w:t>G</w:t>
      </w: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>eneral al Municipiului Târgu Mureș</w:t>
      </w:r>
    </w:p>
    <w:p w14:paraId="1F5EDA4A" w14:textId="77777777" w:rsidR="006E677F" w:rsidRPr="00957110" w:rsidRDefault="006E677F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14E90E58" w14:textId="77777777" w:rsidR="006E677F" w:rsidRPr="00FB0D75" w:rsidRDefault="006E677F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BD8080E" w14:textId="462B7616" w:rsidR="006E677F" w:rsidRDefault="006E677F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C5DFBE4" w14:textId="0C9521C3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03CF7B3" w14:textId="4DF78144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B26F57B" w14:textId="10A4391E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72FE7AD" w14:textId="53D79F07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1FCBED1" w14:textId="2831014A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B0B318C" w14:textId="7778B481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CB1A163" w14:textId="75893BC9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CC792B8" w14:textId="7F546AB1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48DFDF0" w14:textId="3653C0EC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61CE451" w14:textId="5D6FD54F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6572865" w14:textId="78B5655B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1FE5CE0" w14:textId="763DF149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15E7DA6" w14:textId="61071428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79D2DFA" w14:textId="13F9BBCC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EA62AC4" w14:textId="77C3A11A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708650C" w14:textId="081947EB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CE8AB95" w14:textId="150B4939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D04DE3B" w14:textId="6ECE650F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F07D261" w14:textId="6A1EBCA9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8388F1D" w14:textId="6CD71EB4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3C1D10F" w14:textId="0D7DF50F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7B70FEF4" w14:textId="77777777" w:rsidR="00D853E8" w:rsidRDefault="00D853E8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FB23AE4" w14:textId="77777777" w:rsidR="00D853E8" w:rsidRDefault="00D853E8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1D6E3D7" w14:textId="77777777" w:rsidR="00D853E8" w:rsidRDefault="00D853E8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D51B582" w14:textId="77777777" w:rsidR="00D853E8" w:rsidRDefault="00D853E8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A2AE2AF" w14:textId="77777777" w:rsidR="00D853E8" w:rsidRDefault="00D853E8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42EF44D" w14:textId="01E19356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5DE0B5B" w14:textId="726675FA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FC8F972" w14:textId="3C166D8B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3755340" w14:textId="07078B5B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B14A677" w14:textId="42430DDB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177503E" w14:textId="794E3183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7CE6A5F" w14:textId="54D39B0C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4F001B6" w14:textId="167E819B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4083C405" w14:textId="1A03D5C0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202BE9BD" w14:textId="4FB2B9F9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69555C8" w14:textId="7A08A8B4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93CF36F" w14:textId="77777777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EFB1C69" w14:textId="427DB83E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C120307" w14:textId="0A0B21F3" w:rsidR="00CB2BEC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68222B3C" w14:textId="77777777" w:rsidR="00CB2BEC" w:rsidRPr="00FB0D75" w:rsidRDefault="00CB2BEC" w:rsidP="006E677F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33E7B97A" w14:textId="0939D82B" w:rsidR="006E677F" w:rsidRDefault="006E677F" w:rsidP="006E677F">
      <w:pPr>
        <w:spacing w:after="0" w:line="240" w:lineRule="auto"/>
        <w:ind w:left="170" w:firstLine="720"/>
        <w:jc w:val="both"/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</w:p>
    <w:sectPr w:rsidR="006E677F" w:rsidSect="006E677F">
      <w:pgSz w:w="12240" w:h="15840"/>
      <w:pgMar w:top="851" w:right="992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517C6" w14:textId="77777777" w:rsidR="006F6E93" w:rsidRDefault="006F6E93">
      <w:pPr>
        <w:spacing w:after="0" w:line="240" w:lineRule="auto"/>
      </w:pPr>
      <w:r>
        <w:separator/>
      </w:r>
    </w:p>
  </w:endnote>
  <w:endnote w:type="continuationSeparator" w:id="0">
    <w:p w14:paraId="74FE7B1D" w14:textId="77777777" w:rsidR="006F6E93" w:rsidRDefault="006F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01D9" w14:textId="77777777" w:rsidR="00A525BC" w:rsidRDefault="00A95F5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E5E2C" w14:textId="77777777" w:rsidR="006F6E93" w:rsidRDefault="006F6E93">
      <w:pPr>
        <w:spacing w:after="0" w:line="240" w:lineRule="auto"/>
      </w:pPr>
      <w:r>
        <w:separator/>
      </w:r>
    </w:p>
  </w:footnote>
  <w:footnote w:type="continuationSeparator" w:id="0">
    <w:p w14:paraId="7068430B" w14:textId="77777777" w:rsidR="006F6E93" w:rsidRDefault="006F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6834" w14:textId="77777777" w:rsidR="00A525BC" w:rsidRPr="00C878E2" w:rsidRDefault="00A525BC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D6DB2"/>
    <w:multiLevelType w:val="hybridMultilevel"/>
    <w:tmpl w:val="4A9CB4D8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34D62"/>
    <w:multiLevelType w:val="hybridMultilevel"/>
    <w:tmpl w:val="419EB388"/>
    <w:lvl w:ilvl="0" w:tplc="899A4AAC">
      <w:start w:val="1"/>
      <w:numFmt w:val="decimal"/>
      <w:lvlText w:val="%1."/>
      <w:lvlJc w:val="center"/>
      <w:pPr>
        <w:ind w:left="214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2CA5754B"/>
    <w:multiLevelType w:val="hybridMultilevel"/>
    <w:tmpl w:val="C96CD220"/>
    <w:lvl w:ilvl="0" w:tplc="74E4B5B0">
      <w:start w:val="1"/>
      <w:numFmt w:val="lowerLetter"/>
      <w:lvlText w:val="%1)"/>
      <w:lvlJc w:val="left"/>
      <w:pPr>
        <w:ind w:left="108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175F0"/>
    <w:multiLevelType w:val="hybridMultilevel"/>
    <w:tmpl w:val="BD90B5B0"/>
    <w:lvl w:ilvl="0" w:tplc="153C041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BE201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5942250">
    <w:abstractNumId w:val="4"/>
  </w:num>
  <w:num w:numId="2" w16cid:durableId="1725130605">
    <w:abstractNumId w:val="1"/>
  </w:num>
  <w:num w:numId="3" w16cid:durableId="338050176">
    <w:abstractNumId w:val="3"/>
  </w:num>
  <w:num w:numId="4" w16cid:durableId="910432399">
    <w:abstractNumId w:val="0"/>
  </w:num>
  <w:num w:numId="5" w16cid:durableId="47823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7F"/>
    <w:rsid w:val="00037B3B"/>
    <w:rsid w:val="000463A0"/>
    <w:rsid w:val="00064BE6"/>
    <w:rsid w:val="000C2F9E"/>
    <w:rsid w:val="00112223"/>
    <w:rsid w:val="001438CC"/>
    <w:rsid w:val="00166241"/>
    <w:rsid w:val="00167F80"/>
    <w:rsid w:val="001C16A4"/>
    <w:rsid w:val="001D3B15"/>
    <w:rsid w:val="0028277D"/>
    <w:rsid w:val="003A47E0"/>
    <w:rsid w:val="00413B67"/>
    <w:rsid w:val="00430090"/>
    <w:rsid w:val="00444145"/>
    <w:rsid w:val="004D6374"/>
    <w:rsid w:val="00594999"/>
    <w:rsid w:val="005C373B"/>
    <w:rsid w:val="006749EB"/>
    <w:rsid w:val="006E677F"/>
    <w:rsid w:val="006F6E93"/>
    <w:rsid w:val="007330DE"/>
    <w:rsid w:val="00733B35"/>
    <w:rsid w:val="00785A36"/>
    <w:rsid w:val="007D3AF7"/>
    <w:rsid w:val="007F0B30"/>
    <w:rsid w:val="008757B3"/>
    <w:rsid w:val="00876B6A"/>
    <w:rsid w:val="0088600F"/>
    <w:rsid w:val="008F0702"/>
    <w:rsid w:val="00927884"/>
    <w:rsid w:val="009943C5"/>
    <w:rsid w:val="009F76DC"/>
    <w:rsid w:val="00A525BC"/>
    <w:rsid w:val="00A65B26"/>
    <w:rsid w:val="00A66691"/>
    <w:rsid w:val="00A72F0E"/>
    <w:rsid w:val="00A95F5D"/>
    <w:rsid w:val="00B45C0E"/>
    <w:rsid w:val="00B50065"/>
    <w:rsid w:val="00B66D3B"/>
    <w:rsid w:val="00C1663B"/>
    <w:rsid w:val="00C44C14"/>
    <w:rsid w:val="00C83FCA"/>
    <w:rsid w:val="00C959C0"/>
    <w:rsid w:val="00CB2BEC"/>
    <w:rsid w:val="00D853E8"/>
    <w:rsid w:val="00E200A6"/>
    <w:rsid w:val="00E557A5"/>
    <w:rsid w:val="00E76A6A"/>
    <w:rsid w:val="00E8000D"/>
    <w:rsid w:val="00FA7C35"/>
    <w:rsid w:val="00FB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95385D"/>
  <w15:chartTrackingRefBased/>
  <w15:docId w15:val="{D4B52D60-7CBA-4307-A755-46E14CFD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AF7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6E677F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qFormat/>
    <w:rsid w:val="006E677F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E677F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677F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NormalWeb">
    <w:name w:val="Normal (Web)"/>
    <w:basedOn w:val="Normal"/>
    <w:unhideWhenUsed/>
    <w:rsid w:val="006E67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ootnoteText">
    <w:name w:val="footnote text"/>
    <w:basedOn w:val="Normal"/>
    <w:link w:val="FootnoteTextChar"/>
    <w:uiPriority w:val="99"/>
    <w:unhideWhenUsed/>
    <w:rsid w:val="007D3AF7"/>
    <w:pPr>
      <w:spacing w:after="0" w:line="240" w:lineRule="auto"/>
    </w:pPr>
    <w:rPr>
      <w:sz w:val="20"/>
      <w:szCs w:val="20"/>
      <w:lang w:val="en-ID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3AF7"/>
    <w:rPr>
      <w:rFonts w:ascii="Calibri" w:eastAsia="Calibri" w:hAnsi="Calibri" w:cs="Times New Roman"/>
      <w:kern w:val="0"/>
      <w:sz w:val="20"/>
      <w:szCs w:val="20"/>
      <w:lang w:val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3838-70AE-4DD2-9895-D0D1D6B87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2059</Words>
  <Characters>11944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32</cp:revision>
  <cp:lastPrinted>2025-11-17T09:39:00Z</cp:lastPrinted>
  <dcterms:created xsi:type="dcterms:W3CDTF">2023-03-20T09:32:00Z</dcterms:created>
  <dcterms:modified xsi:type="dcterms:W3CDTF">2025-11-17T09:40:00Z</dcterms:modified>
</cp:coreProperties>
</file>