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D203" w14:textId="77777777" w:rsidR="00295967" w:rsidRDefault="00295967" w:rsidP="00295967">
      <w:pPr>
        <w:spacing w:line="240" w:lineRule="auto"/>
        <w:ind w:left="-426" w:firstLine="426"/>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R O M Â N I A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sz w:val="24"/>
          <w:szCs w:val="24"/>
        </w:rPr>
        <w:t>(Nu produce efecte juridice</w:t>
      </w:r>
      <w:r>
        <w:rPr>
          <w:rFonts w:ascii="Times New Roman" w:hAnsi="Times New Roman" w:cs="Times New Roman"/>
          <w:b/>
          <w:bCs/>
          <w:sz w:val="24"/>
          <w:szCs w:val="24"/>
        </w:rPr>
        <w:t>)*</w:t>
      </w:r>
    </w:p>
    <w:p w14:paraId="4A6B8878" w14:textId="77777777" w:rsidR="00295967" w:rsidRDefault="00295967" w:rsidP="00295967">
      <w:pPr>
        <w:spacing w:after="0" w:line="240" w:lineRule="auto"/>
        <w:ind w:left="-426" w:firstLine="426"/>
        <w:contextualSpacing/>
        <w:jc w:val="both"/>
        <w:rPr>
          <w:rFonts w:ascii="Times New Roman" w:hAnsi="Times New Roman" w:cs="Times New Roman"/>
          <w:b/>
          <w:bCs/>
          <w:sz w:val="24"/>
          <w:szCs w:val="24"/>
        </w:rPr>
      </w:pPr>
      <w:r>
        <w:rPr>
          <w:rFonts w:ascii="Times New Roman" w:hAnsi="Times New Roman" w:cs="Times New Roman"/>
          <w:b/>
          <w:bCs/>
          <w:sz w:val="24"/>
          <w:szCs w:val="24"/>
        </w:rPr>
        <w:t>JUDEŢUL MUREŞ</w:t>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INIŢIATOR                                     </w:t>
      </w:r>
    </w:p>
    <w:p w14:paraId="1A5F3318" w14:textId="1369527D" w:rsidR="00295967" w:rsidRDefault="00295967" w:rsidP="00295967">
      <w:pPr>
        <w:spacing w:after="0" w:line="240" w:lineRule="auto"/>
        <w:ind w:left="-426" w:firstLine="426"/>
        <w:contextualSpacing/>
        <w:rPr>
          <w:rFonts w:ascii="Times New Roman" w:hAnsi="Times New Roman" w:cs="Times New Roman"/>
          <w:b/>
          <w:bCs/>
          <w:sz w:val="24"/>
          <w:szCs w:val="24"/>
        </w:rPr>
      </w:pPr>
      <w:r>
        <w:rPr>
          <w:rFonts w:ascii="Times New Roman" w:hAnsi="Times New Roman" w:cs="Times New Roman"/>
          <w:b/>
          <w:bCs/>
          <w:sz w:val="24"/>
          <w:szCs w:val="24"/>
        </w:rPr>
        <w:t xml:space="preserve">MUNICIPIUL TÂRGU MUREŞ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p. P R I M A R</w:t>
      </w:r>
    </w:p>
    <w:p w14:paraId="5137EED8" w14:textId="6674FECF" w:rsidR="00295967" w:rsidRDefault="00295967" w:rsidP="00295967">
      <w:pPr>
        <w:spacing w:after="0" w:line="240" w:lineRule="auto"/>
        <w:ind w:left="-426" w:firstLine="426"/>
        <w:contextualSpacing/>
        <w:rPr>
          <w:rFonts w:ascii="Times New Roman" w:hAnsi="Times New Roman" w:cs="Times New Roman"/>
          <w:b/>
          <w:bCs/>
          <w:sz w:val="24"/>
          <w:szCs w:val="24"/>
        </w:rPr>
      </w:pPr>
      <w:r>
        <w:rPr>
          <w:rFonts w:ascii="Times New Roman" w:hAnsi="Times New Roman" w:cs="Times New Roman"/>
          <w:b/>
          <w:bCs/>
          <w:sz w:val="24"/>
          <w:szCs w:val="24"/>
        </w:rPr>
        <w:t xml:space="preserve">DIRECȚIA ACTIVITĂȚI SOCIAL CULTURALE,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VICEPRIMAR</w:t>
      </w:r>
    </w:p>
    <w:p w14:paraId="69D2A71D" w14:textId="7E1ADD29" w:rsidR="00295967" w:rsidRDefault="00295967" w:rsidP="00295967">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PATRIMONIALE ȘI COMERCIALE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t>KOVÁCS MIHÁLY LEVENTE</w:t>
      </w:r>
    </w:p>
    <w:p w14:paraId="5161EAC9" w14:textId="77777777" w:rsidR="00295967" w:rsidRDefault="00295967" w:rsidP="00295967">
      <w:pPr>
        <w:spacing w:after="0" w:line="240" w:lineRule="auto"/>
        <w:ind w:left="-426" w:firstLine="426"/>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Serviciul Relaţii Interne şi Internaţionale </w:t>
      </w:r>
    </w:p>
    <w:p w14:paraId="34790666" w14:textId="796D613C" w:rsidR="00295967" w:rsidRDefault="00295967" w:rsidP="00295967">
      <w:pPr>
        <w:spacing w:after="0" w:line="240" w:lineRule="auto"/>
        <w:ind w:left="-426" w:firstLine="426"/>
        <w:contextualSpacing/>
        <w:jc w:val="both"/>
        <w:rPr>
          <w:rFonts w:ascii="Times New Roman" w:hAnsi="Times New Roman" w:cs="Times New Roman"/>
          <w:b/>
          <w:bCs/>
          <w:sz w:val="24"/>
          <w:szCs w:val="24"/>
        </w:rPr>
      </w:pPr>
      <w:r>
        <w:rPr>
          <w:rFonts w:ascii="Times New Roman" w:hAnsi="Times New Roman" w:cs="Times New Roman"/>
          <w:b/>
          <w:bCs/>
          <w:sz w:val="24"/>
          <w:szCs w:val="24"/>
        </w:rPr>
        <w:t>Nr.</w:t>
      </w:r>
      <w:r>
        <w:rPr>
          <w:rFonts w:ascii="Tahoma" w:hAnsi="Tahoma" w:cs="Tahoma"/>
          <w:b/>
          <w:bCs/>
          <w:sz w:val="20"/>
          <w:szCs w:val="20"/>
        </w:rPr>
        <w:t xml:space="preserve"> </w:t>
      </w:r>
      <w:r>
        <w:rPr>
          <w:rFonts w:ascii="Times New Roman" w:hAnsi="Times New Roman" w:cs="Times New Roman"/>
          <w:b/>
          <w:bCs/>
          <w:sz w:val="24"/>
          <w:szCs w:val="24"/>
        </w:rPr>
        <w:t>//</w:t>
      </w:r>
      <w:r>
        <w:rPr>
          <w:rFonts w:ascii="Times New Roman" w:hAnsi="Times New Roman" w:cs="Times New Roman"/>
          <w:b/>
          <w:bCs/>
          <w:color w:val="FF0000"/>
          <w:sz w:val="24"/>
          <w:szCs w:val="24"/>
        </w:rPr>
        <w:tab/>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14:paraId="21F747AE" w14:textId="77777777" w:rsidR="00295967" w:rsidRDefault="00295967" w:rsidP="00295967">
      <w:pPr>
        <w:spacing w:after="0" w:line="240" w:lineRule="auto"/>
        <w:ind w:left="-426" w:firstLine="426"/>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t xml:space="preserve">                              </w:t>
      </w:r>
    </w:p>
    <w:p w14:paraId="2685A2C6" w14:textId="77777777" w:rsidR="00295967" w:rsidRDefault="00295967" w:rsidP="00295967">
      <w:pPr>
        <w:spacing w:after="0" w:line="240" w:lineRule="auto"/>
        <w:ind w:left="-426" w:firstLine="426"/>
        <w:jc w:val="both"/>
        <w:rPr>
          <w:rFonts w:ascii="Times New Roman" w:hAnsi="Times New Roman" w:cs="Times New Roman"/>
          <w:b/>
          <w:bCs/>
          <w:sz w:val="24"/>
          <w:szCs w:val="24"/>
        </w:rPr>
      </w:pPr>
    </w:p>
    <w:p w14:paraId="6FC2411F" w14:textId="77777777" w:rsidR="00295967" w:rsidRDefault="00295967" w:rsidP="00295967">
      <w:pPr>
        <w:spacing w:after="0"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Referat de aprobare</w:t>
      </w:r>
    </w:p>
    <w:p w14:paraId="0A492F23" w14:textId="77777777" w:rsidR="00295967" w:rsidRDefault="00295967" w:rsidP="00295967">
      <w:pPr>
        <w:spacing w:after="0"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privind acordarea titlului de “Cetăţean de Onoare al Municipiului Târgu Mureş”</w:t>
      </w:r>
    </w:p>
    <w:p w14:paraId="34A20258" w14:textId="77777777" w:rsidR="00295967" w:rsidRDefault="00295967" w:rsidP="00295967">
      <w:pPr>
        <w:spacing w:after="0"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pentru personalităţi cu merite deosebite, ediţia 2025</w:t>
      </w:r>
    </w:p>
    <w:p w14:paraId="4640BF63" w14:textId="77777777" w:rsidR="00295967" w:rsidRDefault="00295967" w:rsidP="00295967">
      <w:pPr>
        <w:spacing w:line="240" w:lineRule="auto"/>
        <w:ind w:left="-426" w:firstLine="426"/>
        <w:jc w:val="both"/>
        <w:rPr>
          <w:rFonts w:ascii="Times New Roman" w:hAnsi="Times New Roman" w:cs="Times New Roman"/>
          <w:sz w:val="24"/>
          <w:szCs w:val="24"/>
        </w:rPr>
      </w:pPr>
    </w:p>
    <w:p w14:paraId="3CFB1580" w14:textId="77777777" w:rsidR="00295967" w:rsidRDefault="00295967" w:rsidP="00295967">
      <w:pPr>
        <w:spacing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 xml:space="preserve">Începând cu anul 1997, Municipiul Târgu Mureş decernează titlul de “Cetăţean de Onoare al Municipiului Târgu Mureş” pentru a onora personalităţile marcante ale oraşului care, prin aportul adus, au contribuit la ridicarea prestigiului localităţii. </w:t>
      </w:r>
    </w:p>
    <w:p w14:paraId="0774B5DB" w14:textId="77777777" w:rsidR="00295967" w:rsidRDefault="00295967" w:rsidP="00295967">
      <w:pPr>
        <w:spacing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Potrivit prevederilor articolului 129, aliniatul 13, din Ordonanța de Urgență nr.57 din 3 iulie 2019 privind Codul administrativ, cu modificările și completările ulterioare“Consiliul local poate conferi persoanelor fizice române sau străine cu merite deosebite titlul de cetățean de onoare al comunei, orașului sau municipiului, în baza unui regulament propriu. Prin acest regulament se stabilesc și condițiile retragerii titlului conferit......”</w:t>
      </w:r>
    </w:p>
    <w:p w14:paraId="23714AAF" w14:textId="77777777" w:rsidR="00295967" w:rsidRDefault="00295967" w:rsidP="00295967">
      <w:pPr>
        <w:spacing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Luând în considerare Hotărârea Consiliului local municipal nr. 111 din 22.04.2021 privind aprobarea Regulamentului de conferire a titlului ”Cetăţean de onoare al Municipiului Târgu Mureş”,</w:t>
      </w:r>
    </w:p>
    <w:p w14:paraId="4C4AD0EC" w14:textId="77777777" w:rsidR="00295967" w:rsidRDefault="00295967" w:rsidP="00295967">
      <w:pPr>
        <w:spacing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În temeiul celor enunţate mai sus, supunem spre analiză şi avizare, propunerile de acordare a titlului de “Cetăţean de Onoare al Municipiului Târgu Mureş” pentru:</w:t>
      </w:r>
    </w:p>
    <w:p w14:paraId="626A5FB4" w14:textId="77777777" w:rsidR="00B60254" w:rsidRDefault="00B60254" w:rsidP="00295967">
      <w:pPr>
        <w:spacing w:after="0" w:line="240" w:lineRule="auto"/>
        <w:ind w:left="-426" w:firstLine="426"/>
        <w:jc w:val="both"/>
        <w:rPr>
          <w:rFonts w:ascii="Times New Roman" w:hAnsi="Times New Roman" w:cs="Times New Roman"/>
          <w:sz w:val="24"/>
          <w:szCs w:val="24"/>
        </w:rPr>
      </w:pPr>
      <w:bookmarkStart w:id="0" w:name="_Hlk197434749"/>
    </w:p>
    <w:p w14:paraId="11DA17D9" w14:textId="77777777" w:rsidR="00B60254" w:rsidRDefault="00B60254" w:rsidP="00295967">
      <w:pPr>
        <w:spacing w:after="0" w:line="240" w:lineRule="auto"/>
        <w:ind w:left="-426" w:firstLine="426"/>
        <w:jc w:val="both"/>
        <w:rPr>
          <w:rFonts w:ascii="Times New Roman" w:hAnsi="Times New Roman" w:cs="Times New Roman"/>
          <w:sz w:val="24"/>
          <w:szCs w:val="24"/>
        </w:rPr>
      </w:pPr>
    </w:p>
    <w:p w14:paraId="62D8FAAD" w14:textId="77777777" w:rsidR="00B60254" w:rsidRDefault="00B60254" w:rsidP="00295967">
      <w:pPr>
        <w:spacing w:after="0" w:line="240" w:lineRule="auto"/>
        <w:ind w:left="-426" w:firstLine="426"/>
        <w:jc w:val="both"/>
        <w:rPr>
          <w:rFonts w:ascii="Times New Roman" w:hAnsi="Times New Roman" w:cs="Times New Roman"/>
          <w:sz w:val="24"/>
          <w:szCs w:val="24"/>
        </w:rPr>
      </w:pPr>
    </w:p>
    <w:p w14:paraId="112FB455" w14:textId="77777777" w:rsidR="00B60254" w:rsidRDefault="00B60254" w:rsidP="00295967">
      <w:pPr>
        <w:spacing w:after="0" w:line="240" w:lineRule="auto"/>
        <w:ind w:left="-426" w:firstLine="426"/>
        <w:jc w:val="both"/>
        <w:rPr>
          <w:rFonts w:ascii="Times New Roman" w:hAnsi="Times New Roman" w:cs="Times New Roman"/>
          <w:sz w:val="24"/>
          <w:szCs w:val="24"/>
        </w:rPr>
      </w:pPr>
    </w:p>
    <w:p w14:paraId="3AC3CA94" w14:textId="77777777" w:rsidR="00B60254" w:rsidRDefault="00B60254" w:rsidP="00295967">
      <w:pPr>
        <w:spacing w:after="0" w:line="240" w:lineRule="auto"/>
        <w:ind w:left="-426" w:firstLine="426"/>
        <w:jc w:val="both"/>
        <w:rPr>
          <w:rFonts w:ascii="Times New Roman" w:hAnsi="Times New Roman" w:cs="Times New Roman"/>
          <w:sz w:val="24"/>
          <w:szCs w:val="24"/>
        </w:rPr>
      </w:pPr>
    </w:p>
    <w:p w14:paraId="49CB5953" w14:textId="77777777" w:rsidR="00295967" w:rsidRDefault="00295967" w:rsidP="00295967">
      <w:pPr>
        <w:spacing w:after="0" w:line="240" w:lineRule="auto"/>
        <w:ind w:left="-426" w:firstLine="426"/>
        <w:jc w:val="both"/>
        <w:rPr>
          <w:rFonts w:ascii="Times New Roman" w:hAnsi="Times New Roman" w:cs="Times New Roman"/>
          <w:sz w:val="24"/>
          <w:szCs w:val="24"/>
          <w:lang w:val="en-US"/>
        </w:rPr>
      </w:pPr>
    </w:p>
    <w:bookmarkEnd w:id="0"/>
    <w:p w14:paraId="192E90AF" w14:textId="77777777" w:rsidR="00295967" w:rsidRDefault="00295967" w:rsidP="00295967">
      <w:pPr>
        <w:spacing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Recomandările privind activitatea profesională, se anexează prezentului referat de aprobare.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686"/>
      </w:tblGrid>
      <w:tr w:rsidR="00295967" w14:paraId="3DB6EFD5" w14:textId="77777777" w:rsidTr="00295967">
        <w:tc>
          <w:tcPr>
            <w:tcW w:w="5228" w:type="dxa"/>
            <w:hideMark/>
          </w:tcPr>
          <w:p w14:paraId="2A7140A6" w14:textId="77777777" w:rsidR="00295967" w:rsidRDefault="00295967">
            <w:pPr>
              <w:spacing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Director executiv adjunct,</w:t>
            </w:r>
          </w:p>
        </w:tc>
        <w:tc>
          <w:tcPr>
            <w:tcW w:w="5228" w:type="dxa"/>
            <w:hideMark/>
          </w:tcPr>
          <w:p w14:paraId="55C9E730" w14:textId="77777777" w:rsidR="00295967" w:rsidRDefault="00295967">
            <w:pPr>
              <w:spacing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Șef serviciu,</w:t>
            </w:r>
          </w:p>
        </w:tc>
      </w:tr>
      <w:tr w:rsidR="00295967" w14:paraId="3009918D" w14:textId="77777777" w:rsidTr="00295967">
        <w:tc>
          <w:tcPr>
            <w:tcW w:w="5228" w:type="dxa"/>
            <w:hideMark/>
          </w:tcPr>
          <w:p w14:paraId="2E1B9E97" w14:textId="77777777" w:rsidR="00295967" w:rsidRDefault="00295967">
            <w:pPr>
              <w:spacing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Blaga Cosmin</w:t>
            </w:r>
          </w:p>
        </w:tc>
        <w:tc>
          <w:tcPr>
            <w:tcW w:w="5228" w:type="dxa"/>
            <w:hideMark/>
          </w:tcPr>
          <w:p w14:paraId="749FC305" w14:textId="77777777" w:rsidR="00295967" w:rsidRDefault="00295967">
            <w:pPr>
              <w:spacing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Aurel Trif</w:t>
            </w:r>
          </w:p>
        </w:tc>
      </w:tr>
    </w:tbl>
    <w:p w14:paraId="7A219613" w14:textId="77777777" w:rsidR="00295967" w:rsidRDefault="00295967" w:rsidP="00295967">
      <w:pPr>
        <w:spacing w:line="240" w:lineRule="auto"/>
        <w:ind w:left="-426" w:firstLine="426"/>
        <w:jc w:val="both"/>
        <w:rPr>
          <w:rFonts w:ascii="Times New Roman" w:hAnsi="Times New Roman" w:cs="Times New Roman"/>
          <w:sz w:val="24"/>
          <w:szCs w:val="24"/>
        </w:rPr>
      </w:pPr>
    </w:p>
    <w:p w14:paraId="75875E85" w14:textId="77777777" w:rsidR="00295967" w:rsidRDefault="00295967" w:rsidP="00295967">
      <w:pPr>
        <w:spacing w:line="240" w:lineRule="auto"/>
        <w:ind w:left="-426" w:firstLine="426"/>
        <w:jc w:val="both"/>
        <w:rPr>
          <w:rFonts w:ascii="Times New Roman" w:hAnsi="Times New Roman" w:cs="Times New Roman"/>
          <w:sz w:val="16"/>
          <w:szCs w:val="16"/>
        </w:rPr>
      </w:pPr>
    </w:p>
    <w:p w14:paraId="65420BD3" w14:textId="77777777" w:rsidR="00295967" w:rsidRDefault="00295967" w:rsidP="00295967">
      <w:pPr>
        <w:spacing w:line="240" w:lineRule="auto"/>
        <w:ind w:left="-426" w:firstLine="426"/>
        <w:jc w:val="both"/>
        <w:rPr>
          <w:rFonts w:ascii="Times New Roman" w:hAnsi="Times New Roman" w:cs="Times New Roman"/>
          <w:sz w:val="16"/>
          <w:szCs w:val="16"/>
        </w:rPr>
      </w:pPr>
      <w:r>
        <w:rPr>
          <w:rFonts w:ascii="Times New Roman" w:hAnsi="Times New Roman" w:cs="Times New Roman"/>
          <w:sz w:val="16"/>
          <w:szCs w:val="16"/>
        </w:rPr>
        <w:t>*Actele administrative sunt hotărârile de Consiliu local care intră în vigoare și produc efecte juridice după îndeplinirea condițiilor prevăzute de art. 129, art. 139 din O.U.G. privind Codul administrativ, cu modificările și completările ulterioare</w:t>
      </w:r>
    </w:p>
    <w:p w14:paraId="31CC9311" w14:textId="77777777" w:rsidR="00295967" w:rsidRDefault="00295967" w:rsidP="00295967">
      <w:pPr>
        <w:spacing w:line="240" w:lineRule="auto"/>
        <w:ind w:left="-426" w:firstLine="426"/>
        <w:jc w:val="both"/>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2"/>
        <w:gridCol w:w="3624"/>
      </w:tblGrid>
      <w:tr w:rsidR="00295967" w14:paraId="431F3431" w14:textId="77777777" w:rsidTr="008D2BD1">
        <w:tc>
          <w:tcPr>
            <w:tcW w:w="5782" w:type="dxa"/>
          </w:tcPr>
          <w:p w14:paraId="1032BEDB" w14:textId="77777777" w:rsidR="00295967" w:rsidRDefault="00295967">
            <w:pPr>
              <w:spacing w:line="240" w:lineRule="auto"/>
              <w:ind w:left="-426" w:firstLine="426"/>
              <w:jc w:val="both"/>
              <w:rPr>
                <w:rFonts w:ascii="Times New Roman" w:hAnsi="Times New Roman" w:cs="Times New Roman"/>
                <w:b/>
                <w:bCs/>
                <w:sz w:val="24"/>
                <w:szCs w:val="24"/>
              </w:rPr>
            </w:pPr>
          </w:p>
          <w:p w14:paraId="05D09C92" w14:textId="77777777" w:rsidR="00295967" w:rsidRDefault="00295967">
            <w:pPr>
              <w:spacing w:line="240" w:lineRule="auto"/>
              <w:ind w:left="-426" w:firstLine="426"/>
              <w:jc w:val="both"/>
              <w:rPr>
                <w:rFonts w:ascii="Times New Roman" w:hAnsi="Times New Roman" w:cs="Times New Roman"/>
                <w:b/>
                <w:bCs/>
                <w:sz w:val="24"/>
                <w:szCs w:val="24"/>
              </w:rPr>
            </w:pPr>
          </w:p>
          <w:p w14:paraId="4CFBA26A" w14:textId="77777777" w:rsidR="008D2BD1" w:rsidRDefault="008D2BD1">
            <w:pPr>
              <w:spacing w:line="240" w:lineRule="auto"/>
              <w:ind w:left="-426" w:firstLine="426"/>
              <w:jc w:val="both"/>
              <w:rPr>
                <w:rFonts w:ascii="Times New Roman" w:hAnsi="Times New Roman" w:cs="Times New Roman"/>
                <w:b/>
                <w:bCs/>
                <w:sz w:val="24"/>
                <w:szCs w:val="24"/>
              </w:rPr>
            </w:pPr>
          </w:p>
          <w:p w14:paraId="4D9911C6" w14:textId="77777777" w:rsidR="008D2BD1" w:rsidRDefault="008D2BD1">
            <w:pPr>
              <w:spacing w:line="240" w:lineRule="auto"/>
              <w:ind w:left="-426" w:firstLine="426"/>
              <w:jc w:val="both"/>
              <w:rPr>
                <w:rFonts w:ascii="Times New Roman" w:hAnsi="Times New Roman" w:cs="Times New Roman"/>
                <w:b/>
                <w:bCs/>
                <w:sz w:val="24"/>
                <w:szCs w:val="24"/>
              </w:rPr>
            </w:pPr>
          </w:p>
          <w:p w14:paraId="65BD10C1" w14:textId="77777777" w:rsidR="008D2BD1" w:rsidRDefault="008D2BD1">
            <w:pPr>
              <w:spacing w:line="240" w:lineRule="auto"/>
              <w:ind w:left="-426" w:firstLine="426"/>
              <w:jc w:val="both"/>
              <w:rPr>
                <w:rFonts w:ascii="Times New Roman" w:hAnsi="Times New Roman" w:cs="Times New Roman"/>
                <w:b/>
                <w:bCs/>
                <w:sz w:val="24"/>
                <w:szCs w:val="24"/>
              </w:rPr>
            </w:pPr>
          </w:p>
          <w:p w14:paraId="2F134BAE" w14:textId="77777777" w:rsidR="00295967" w:rsidRDefault="00295967">
            <w:pPr>
              <w:spacing w:line="240" w:lineRule="auto"/>
              <w:ind w:left="-426" w:firstLine="426"/>
              <w:jc w:val="both"/>
              <w:rPr>
                <w:rFonts w:ascii="Times New Roman" w:hAnsi="Times New Roman" w:cs="Times New Roman"/>
                <w:b/>
                <w:bCs/>
                <w:sz w:val="24"/>
                <w:szCs w:val="24"/>
              </w:rPr>
            </w:pPr>
          </w:p>
          <w:p w14:paraId="507793CB" w14:textId="77777777" w:rsidR="008D2BD1" w:rsidRDefault="008D2BD1">
            <w:pPr>
              <w:spacing w:line="240" w:lineRule="auto"/>
              <w:ind w:left="-426" w:firstLine="426"/>
              <w:jc w:val="both"/>
              <w:rPr>
                <w:rFonts w:ascii="Times New Roman" w:hAnsi="Times New Roman" w:cs="Times New Roman"/>
                <w:b/>
                <w:bCs/>
                <w:sz w:val="24"/>
                <w:szCs w:val="24"/>
              </w:rPr>
            </w:pPr>
          </w:p>
          <w:p w14:paraId="0968BDD2" w14:textId="77777777" w:rsidR="008D2BD1" w:rsidRDefault="008D2BD1">
            <w:pPr>
              <w:spacing w:line="240" w:lineRule="auto"/>
              <w:ind w:left="-426" w:firstLine="426"/>
              <w:jc w:val="both"/>
              <w:rPr>
                <w:rFonts w:ascii="Times New Roman" w:hAnsi="Times New Roman" w:cs="Times New Roman"/>
                <w:b/>
                <w:bCs/>
                <w:sz w:val="24"/>
                <w:szCs w:val="24"/>
              </w:rPr>
            </w:pPr>
          </w:p>
          <w:p w14:paraId="124B265C" w14:textId="77777777" w:rsidR="00295967" w:rsidRDefault="00295967">
            <w:pPr>
              <w:spacing w:line="240" w:lineRule="auto"/>
              <w:ind w:left="-426" w:firstLine="426"/>
              <w:jc w:val="both"/>
              <w:rPr>
                <w:rFonts w:ascii="Times New Roman" w:hAnsi="Times New Roman" w:cs="Times New Roman"/>
                <w:b/>
                <w:bCs/>
                <w:sz w:val="24"/>
                <w:szCs w:val="24"/>
              </w:rPr>
            </w:pPr>
          </w:p>
          <w:p w14:paraId="680B4A39" w14:textId="77777777" w:rsidR="00295967" w:rsidRDefault="00295967">
            <w:pPr>
              <w:spacing w:line="240" w:lineRule="auto"/>
              <w:ind w:left="-426" w:firstLine="426"/>
              <w:jc w:val="both"/>
              <w:rPr>
                <w:rFonts w:ascii="Times New Roman" w:hAnsi="Times New Roman" w:cs="Times New Roman"/>
                <w:b/>
                <w:bCs/>
                <w:sz w:val="24"/>
                <w:szCs w:val="24"/>
              </w:rPr>
            </w:pPr>
            <w:r>
              <w:rPr>
                <w:rFonts w:ascii="Times New Roman" w:hAnsi="Times New Roman" w:cs="Times New Roman"/>
                <w:b/>
                <w:bCs/>
                <w:sz w:val="24"/>
                <w:szCs w:val="24"/>
              </w:rPr>
              <w:t>R O M Â N I A</w:t>
            </w:r>
          </w:p>
          <w:p w14:paraId="142B4C65" w14:textId="77777777" w:rsidR="00295967" w:rsidRDefault="00295967">
            <w:pPr>
              <w:spacing w:line="240" w:lineRule="auto"/>
              <w:ind w:left="-426" w:firstLine="426"/>
              <w:jc w:val="both"/>
              <w:rPr>
                <w:rFonts w:ascii="Times New Roman" w:hAnsi="Times New Roman" w:cs="Times New Roman"/>
                <w:b/>
                <w:bCs/>
                <w:sz w:val="24"/>
                <w:szCs w:val="24"/>
              </w:rPr>
            </w:pPr>
            <w:r>
              <w:rPr>
                <w:rFonts w:ascii="Times New Roman" w:hAnsi="Times New Roman" w:cs="Times New Roman"/>
                <w:b/>
                <w:bCs/>
                <w:sz w:val="24"/>
                <w:szCs w:val="24"/>
              </w:rPr>
              <w:t>JUDEŢUL MUREȘ</w:t>
            </w:r>
          </w:p>
          <w:p w14:paraId="5C1E7071" w14:textId="77777777" w:rsidR="00295967" w:rsidRDefault="00295967">
            <w:pPr>
              <w:spacing w:line="240" w:lineRule="auto"/>
              <w:ind w:left="-426" w:firstLine="426"/>
              <w:jc w:val="both"/>
              <w:rPr>
                <w:rFonts w:ascii="Times New Roman" w:hAnsi="Times New Roman" w:cs="Times New Roman"/>
                <w:b/>
                <w:bCs/>
                <w:sz w:val="24"/>
                <w:szCs w:val="24"/>
              </w:rPr>
            </w:pPr>
            <w:r>
              <w:rPr>
                <w:rFonts w:ascii="Times New Roman" w:hAnsi="Times New Roman" w:cs="Times New Roman"/>
                <w:b/>
                <w:bCs/>
                <w:sz w:val="24"/>
                <w:szCs w:val="24"/>
              </w:rPr>
              <w:t>CONSILIUL LOCAL MUNICIPAL TÂRGU MUREŞ</w:t>
            </w:r>
          </w:p>
        </w:tc>
        <w:tc>
          <w:tcPr>
            <w:tcW w:w="3624" w:type="dxa"/>
          </w:tcPr>
          <w:p w14:paraId="16CC9045" w14:textId="77777777" w:rsidR="00295967" w:rsidRDefault="00295967">
            <w:pPr>
              <w:spacing w:line="240" w:lineRule="auto"/>
              <w:ind w:left="-426" w:firstLine="426"/>
              <w:jc w:val="right"/>
              <w:rPr>
                <w:rFonts w:ascii="Times New Roman" w:hAnsi="Times New Roman" w:cs="Times New Roman"/>
                <w:b/>
                <w:bCs/>
                <w:sz w:val="24"/>
                <w:szCs w:val="24"/>
              </w:rPr>
            </w:pPr>
          </w:p>
          <w:p w14:paraId="40C76C27" w14:textId="77777777" w:rsidR="00295967" w:rsidRDefault="00295967">
            <w:pPr>
              <w:spacing w:line="240" w:lineRule="auto"/>
              <w:ind w:left="-426" w:firstLine="426"/>
              <w:jc w:val="right"/>
              <w:rPr>
                <w:rFonts w:ascii="Times New Roman" w:hAnsi="Times New Roman" w:cs="Times New Roman"/>
                <w:b/>
                <w:bCs/>
                <w:sz w:val="24"/>
                <w:szCs w:val="24"/>
              </w:rPr>
            </w:pPr>
          </w:p>
          <w:p w14:paraId="3D8CD9C7" w14:textId="77777777" w:rsidR="00295967" w:rsidRDefault="00295967">
            <w:pPr>
              <w:spacing w:line="240" w:lineRule="auto"/>
              <w:ind w:left="-426" w:firstLine="426"/>
              <w:rPr>
                <w:rFonts w:ascii="Times New Roman" w:hAnsi="Times New Roman" w:cs="Times New Roman"/>
                <w:b/>
                <w:bCs/>
                <w:sz w:val="24"/>
                <w:szCs w:val="24"/>
              </w:rPr>
            </w:pPr>
          </w:p>
          <w:p w14:paraId="5F8B7751" w14:textId="77777777" w:rsidR="00295967" w:rsidRDefault="00295967">
            <w:pPr>
              <w:spacing w:line="240" w:lineRule="auto"/>
              <w:ind w:left="-426" w:firstLine="426"/>
              <w:jc w:val="right"/>
              <w:rPr>
                <w:rFonts w:ascii="Times New Roman" w:hAnsi="Times New Roman" w:cs="Times New Roman"/>
                <w:b/>
                <w:bCs/>
                <w:sz w:val="24"/>
                <w:szCs w:val="24"/>
              </w:rPr>
            </w:pPr>
          </w:p>
          <w:p w14:paraId="17EB091E" w14:textId="77777777" w:rsidR="008D2BD1" w:rsidRDefault="008D2BD1">
            <w:pPr>
              <w:spacing w:line="240" w:lineRule="auto"/>
              <w:ind w:left="-426" w:firstLine="426"/>
              <w:jc w:val="right"/>
              <w:rPr>
                <w:rFonts w:ascii="Times New Roman" w:hAnsi="Times New Roman" w:cs="Times New Roman"/>
                <w:b/>
                <w:bCs/>
                <w:sz w:val="24"/>
                <w:szCs w:val="24"/>
              </w:rPr>
            </w:pPr>
          </w:p>
          <w:p w14:paraId="05AFC49D" w14:textId="77777777" w:rsidR="008D2BD1" w:rsidRDefault="008D2BD1">
            <w:pPr>
              <w:spacing w:line="240" w:lineRule="auto"/>
              <w:ind w:left="-426" w:firstLine="426"/>
              <w:jc w:val="right"/>
              <w:rPr>
                <w:rFonts w:ascii="Times New Roman" w:hAnsi="Times New Roman" w:cs="Times New Roman"/>
                <w:b/>
                <w:bCs/>
                <w:sz w:val="24"/>
                <w:szCs w:val="24"/>
              </w:rPr>
            </w:pPr>
          </w:p>
          <w:p w14:paraId="44A1DAC0" w14:textId="77777777" w:rsidR="008D2BD1" w:rsidRDefault="008D2BD1">
            <w:pPr>
              <w:spacing w:line="240" w:lineRule="auto"/>
              <w:ind w:left="-426" w:firstLine="426"/>
              <w:jc w:val="right"/>
              <w:rPr>
                <w:rFonts w:ascii="Times New Roman" w:hAnsi="Times New Roman" w:cs="Times New Roman"/>
                <w:b/>
                <w:bCs/>
                <w:sz w:val="24"/>
                <w:szCs w:val="24"/>
              </w:rPr>
            </w:pPr>
          </w:p>
          <w:p w14:paraId="2F8BCC63" w14:textId="77777777" w:rsidR="008D2BD1" w:rsidRDefault="008D2BD1">
            <w:pPr>
              <w:spacing w:line="240" w:lineRule="auto"/>
              <w:ind w:left="-426" w:firstLine="426"/>
              <w:jc w:val="right"/>
              <w:rPr>
                <w:rFonts w:ascii="Times New Roman" w:hAnsi="Times New Roman" w:cs="Times New Roman"/>
                <w:b/>
                <w:bCs/>
                <w:sz w:val="24"/>
                <w:szCs w:val="24"/>
              </w:rPr>
            </w:pPr>
          </w:p>
          <w:p w14:paraId="046D37F8" w14:textId="77777777" w:rsidR="00295967" w:rsidRDefault="00295967">
            <w:pPr>
              <w:spacing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PROIECT</w:t>
            </w:r>
          </w:p>
          <w:p w14:paraId="6D08DAE4" w14:textId="77777777" w:rsidR="00295967" w:rsidRDefault="00295967">
            <w:pPr>
              <w:spacing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p.PRIMAR</w:t>
            </w:r>
          </w:p>
          <w:p w14:paraId="07C246B5" w14:textId="77777777" w:rsidR="00295967" w:rsidRDefault="00295967">
            <w:pPr>
              <w:spacing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VICEPRIMAR</w:t>
            </w:r>
          </w:p>
        </w:tc>
      </w:tr>
      <w:tr w:rsidR="00295967" w14:paraId="5A821678" w14:textId="77777777" w:rsidTr="008D2BD1">
        <w:tc>
          <w:tcPr>
            <w:tcW w:w="5782" w:type="dxa"/>
          </w:tcPr>
          <w:p w14:paraId="1F221C9C" w14:textId="77777777" w:rsidR="00295967" w:rsidRDefault="00295967">
            <w:pPr>
              <w:spacing w:line="240" w:lineRule="auto"/>
              <w:ind w:left="-426" w:firstLine="426"/>
              <w:jc w:val="both"/>
              <w:rPr>
                <w:rFonts w:ascii="Times New Roman" w:hAnsi="Times New Roman" w:cs="Times New Roman"/>
                <w:b/>
                <w:bCs/>
                <w:sz w:val="24"/>
                <w:szCs w:val="24"/>
              </w:rPr>
            </w:pPr>
          </w:p>
        </w:tc>
        <w:tc>
          <w:tcPr>
            <w:tcW w:w="3624" w:type="dxa"/>
            <w:hideMark/>
          </w:tcPr>
          <w:p w14:paraId="7AB05A38" w14:textId="77777777" w:rsidR="00295967" w:rsidRDefault="00295967">
            <w:pPr>
              <w:spacing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KOVÁCS MIHÁLY LEVENTE</w:t>
            </w:r>
          </w:p>
        </w:tc>
      </w:tr>
      <w:tr w:rsidR="008D2BD1" w14:paraId="1D8D46DB" w14:textId="77777777" w:rsidTr="008D2BD1">
        <w:tc>
          <w:tcPr>
            <w:tcW w:w="5782" w:type="dxa"/>
          </w:tcPr>
          <w:p w14:paraId="59D0AE96" w14:textId="77777777" w:rsidR="008D2BD1" w:rsidRDefault="008D2BD1">
            <w:pPr>
              <w:spacing w:line="240" w:lineRule="auto"/>
              <w:ind w:left="-426" w:firstLine="426"/>
              <w:jc w:val="both"/>
              <w:rPr>
                <w:rFonts w:ascii="Times New Roman" w:hAnsi="Times New Roman" w:cs="Times New Roman"/>
                <w:b/>
                <w:bCs/>
                <w:sz w:val="24"/>
                <w:szCs w:val="24"/>
              </w:rPr>
            </w:pPr>
          </w:p>
        </w:tc>
        <w:tc>
          <w:tcPr>
            <w:tcW w:w="3624" w:type="dxa"/>
          </w:tcPr>
          <w:p w14:paraId="35C68FF4" w14:textId="77777777" w:rsidR="008D2BD1" w:rsidRDefault="008D2BD1">
            <w:pPr>
              <w:spacing w:line="240" w:lineRule="auto"/>
              <w:ind w:left="-426" w:firstLine="426"/>
              <w:jc w:val="center"/>
              <w:rPr>
                <w:rFonts w:ascii="Times New Roman" w:hAnsi="Times New Roman" w:cs="Times New Roman"/>
                <w:b/>
                <w:bCs/>
                <w:sz w:val="24"/>
                <w:szCs w:val="24"/>
              </w:rPr>
            </w:pPr>
          </w:p>
        </w:tc>
      </w:tr>
    </w:tbl>
    <w:p w14:paraId="4BA4EACF" w14:textId="7307C2E0" w:rsidR="00295967" w:rsidRDefault="00295967" w:rsidP="00295967">
      <w:pPr>
        <w:spacing w:after="0" w:line="240" w:lineRule="auto"/>
        <w:ind w:left="-426" w:firstLine="426"/>
        <w:jc w:val="both"/>
        <w:rPr>
          <w:rFonts w:ascii="Times New Roman" w:hAnsi="Times New Roman" w:cs="Times New Roman"/>
          <w:sz w:val="24"/>
          <w:szCs w:val="24"/>
        </w:rPr>
      </w:pPr>
      <w:r>
        <w:rPr>
          <w:noProof/>
        </w:rPr>
        <w:drawing>
          <wp:anchor distT="0" distB="0" distL="0" distR="0" simplePos="0" relativeHeight="251659264" behindDoc="0" locked="0" layoutInCell="1" allowOverlap="1" wp14:anchorId="1F596FB2" wp14:editId="1526228A">
            <wp:simplePos x="0" y="0"/>
            <wp:positionH relativeFrom="leftMargin">
              <wp:align>right</wp:align>
            </wp:positionH>
            <wp:positionV relativeFrom="paragraph">
              <wp:posOffset>-706120</wp:posOffset>
            </wp:positionV>
            <wp:extent cx="306705" cy="461010"/>
            <wp:effectExtent l="0" t="0" r="0" b="0"/>
            <wp:wrapNone/>
            <wp:docPr id="7335160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6705" cy="461010"/>
                    </a:xfrm>
                    <a:prstGeom prst="rect">
                      <a:avLst/>
                    </a:prstGeom>
                    <a:noFill/>
                  </pic:spPr>
                </pic:pic>
              </a:graphicData>
            </a:graphic>
            <wp14:sizeRelH relativeFrom="page">
              <wp14:pctWidth>0</wp14:pctWidth>
            </wp14:sizeRelH>
            <wp14:sizeRelV relativeFrom="page">
              <wp14:pctHeight>0</wp14:pctHeight>
            </wp14:sizeRelV>
          </wp:anchor>
        </w:drawing>
      </w:r>
    </w:p>
    <w:p w14:paraId="10D0F2A6" w14:textId="77777777" w:rsidR="00295967" w:rsidRDefault="00295967" w:rsidP="00295967">
      <w:pPr>
        <w:spacing w:after="0"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H O T Ă R Â R E A   nr. _______</w:t>
      </w:r>
    </w:p>
    <w:p w14:paraId="3AF98FEA" w14:textId="77777777" w:rsidR="00295967" w:rsidRDefault="00295967" w:rsidP="00295967">
      <w:pPr>
        <w:spacing w:after="0" w:line="240" w:lineRule="auto"/>
        <w:ind w:left="-426" w:firstLine="426"/>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din _________ 2025</w:t>
      </w:r>
    </w:p>
    <w:p w14:paraId="1312D409" w14:textId="77777777" w:rsidR="00295967" w:rsidRDefault="00295967" w:rsidP="00295967">
      <w:pPr>
        <w:spacing w:after="0" w:line="240" w:lineRule="auto"/>
        <w:ind w:left="142" w:firstLine="426"/>
        <w:jc w:val="center"/>
        <w:rPr>
          <w:rFonts w:ascii="Times New Roman" w:hAnsi="Times New Roman" w:cs="Times New Roman"/>
          <w:b/>
          <w:bCs/>
          <w:sz w:val="24"/>
          <w:szCs w:val="24"/>
        </w:rPr>
      </w:pPr>
      <w:r>
        <w:rPr>
          <w:rFonts w:ascii="Times New Roman" w:hAnsi="Times New Roman" w:cs="Times New Roman"/>
          <w:b/>
          <w:bCs/>
          <w:sz w:val="24"/>
          <w:szCs w:val="24"/>
        </w:rPr>
        <w:t>privind acordarea titlului de “Cetățean de Onoare al Municipiulu Târgu Mureș”, pentru personalități cu merite deosebite, ediţia 2025</w:t>
      </w:r>
    </w:p>
    <w:p w14:paraId="545D1072" w14:textId="77777777" w:rsidR="00295967" w:rsidRDefault="00295967" w:rsidP="00295967">
      <w:pPr>
        <w:spacing w:after="0" w:line="240" w:lineRule="auto"/>
        <w:ind w:left="-426" w:firstLine="426"/>
        <w:jc w:val="both"/>
        <w:rPr>
          <w:rFonts w:ascii="Times New Roman" w:hAnsi="Times New Roman" w:cs="Times New Roman"/>
          <w:sz w:val="24"/>
          <w:szCs w:val="24"/>
        </w:rPr>
      </w:pPr>
    </w:p>
    <w:p w14:paraId="114CC194" w14:textId="77777777" w:rsidR="00295967" w:rsidRDefault="00295967" w:rsidP="00295967">
      <w:pPr>
        <w:spacing w:after="0" w:line="240" w:lineRule="auto"/>
        <w:ind w:left="-426" w:firstLine="426"/>
        <w:jc w:val="both"/>
        <w:rPr>
          <w:rFonts w:ascii="Times New Roman" w:hAnsi="Times New Roman" w:cs="Times New Roman"/>
          <w:b/>
          <w:bCs/>
          <w:i/>
          <w:iCs/>
          <w:sz w:val="24"/>
          <w:szCs w:val="24"/>
        </w:rPr>
      </w:pPr>
      <w:r>
        <w:rPr>
          <w:rFonts w:ascii="Times New Roman" w:hAnsi="Times New Roman" w:cs="Times New Roman"/>
          <w:b/>
          <w:bCs/>
          <w:i/>
          <w:iCs/>
          <w:sz w:val="24"/>
          <w:szCs w:val="24"/>
        </w:rPr>
        <w:t>Consiliul local municipal Târgu Mureş, întrunit în şedinţă ordinară de lucru,</w:t>
      </w:r>
    </w:p>
    <w:p w14:paraId="48AB0E47" w14:textId="77777777" w:rsidR="00295967" w:rsidRDefault="00295967" w:rsidP="00295967">
      <w:pPr>
        <w:spacing w:after="0"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Văzând Referatul de aprobare nr.</w:t>
      </w:r>
      <w:r>
        <w:rPr>
          <w:rFonts w:ascii="Tahoma" w:hAnsi="Tahoma" w:cs="Tahoma"/>
          <w:b/>
          <w:bCs/>
          <w:sz w:val="20"/>
          <w:szCs w:val="20"/>
        </w:rPr>
        <w:t xml:space="preserve"> </w:t>
      </w:r>
      <w:r>
        <w:rPr>
          <w:rFonts w:ascii="Times New Roman" w:hAnsi="Times New Roman" w:cs="Times New Roman"/>
          <w:sz w:val="24"/>
          <w:szCs w:val="24"/>
        </w:rPr>
        <w:t xml:space="preserve">21759/018/ 28.04.2025 inițiat de Primarul Municipiului Târgu Mureș prin Direcția activități social-culturale, patrimoniale și comerciale – Serviciul relații interne și internaționale privind acordarea titlului de “Cetățean de onoare al Municipului Târgu Mureș” pentru personalităţi cu merite deosebite, </w:t>
      </w:r>
    </w:p>
    <w:p w14:paraId="654F8685" w14:textId="77777777" w:rsidR="00295967" w:rsidRDefault="00295967" w:rsidP="00295967">
      <w:pPr>
        <w:spacing w:after="0"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Raportul de specialitate al Direcţiei Juridice, Contencios Administrativ şi Administraţie Publică Locală,</w:t>
      </w:r>
    </w:p>
    <w:p w14:paraId="36E87628" w14:textId="77777777" w:rsidR="00295967" w:rsidRDefault="00295967" w:rsidP="00295967">
      <w:pPr>
        <w:spacing w:after="0"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Raportul Comisiilor de specialitate din cadrul Consiliului local municipal Târgu Mureş</w:t>
      </w:r>
    </w:p>
    <w:p w14:paraId="0F09AE35" w14:textId="77777777" w:rsidR="00295967" w:rsidRDefault="00295967" w:rsidP="00295967">
      <w:pPr>
        <w:spacing w:after="0"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În conformitate cu prevederile Hotărârii Consiliului local municipal nr. 111 din 22.04.2021, privind aprobarea Regulamentului de conferire a titlului de ”Cetăţean de onoare al Municipiului Târgu Mureş”,</w:t>
      </w:r>
    </w:p>
    <w:p w14:paraId="016CDA49" w14:textId="77777777" w:rsidR="00295967" w:rsidRDefault="00295967" w:rsidP="00295967">
      <w:pPr>
        <w:spacing w:after="0"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În temeiul prevederilor art. 129 alin. (1), (13) şi (14), art. 136 alin. (1) și art. 196 alin. (1), lit.”a”   din   OUG.   nr. 57/2019 privind   Codul   Administrativ, cu modificările și completările ulterioare,</w:t>
      </w:r>
    </w:p>
    <w:p w14:paraId="47FECA62" w14:textId="77777777" w:rsidR="00295967" w:rsidRDefault="00295967" w:rsidP="00295967">
      <w:pPr>
        <w:spacing w:after="0"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H o t ă r ă ş t e :</w:t>
      </w:r>
    </w:p>
    <w:p w14:paraId="14A6DD5C" w14:textId="77777777" w:rsidR="00295967" w:rsidRDefault="00295967" w:rsidP="00295967">
      <w:pPr>
        <w:spacing w:after="0" w:line="240" w:lineRule="auto"/>
        <w:ind w:left="-426" w:firstLine="426"/>
        <w:jc w:val="both"/>
        <w:rPr>
          <w:rFonts w:ascii="Times New Roman" w:hAnsi="Times New Roman" w:cs="Times New Roman"/>
          <w:sz w:val="24"/>
          <w:szCs w:val="24"/>
        </w:rPr>
      </w:pPr>
      <w:r>
        <w:rPr>
          <w:rFonts w:ascii="Times New Roman" w:hAnsi="Times New Roman" w:cs="Times New Roman"/>
          <w:b/>
          <w:bCs/>
          <w:sz w:val="24"/>
          <w:szCs w:val="24"/>
        </w:rPr>
        <w:t>Art. 1</w:t>
      </w:r>
      <w:r>
        <w:rPr>
          <w:rFonts w:ascii="Times New Roman" w:hAnsi="Times New Roman" w:cs="Times New Roman"/>
          <w:sz w:val="24"/>
          <w:szCs w:val="24"/>
        </w:rPr>
        <w:t xml:space="preserve">. Se aprobă acordarea titlului de “Cetățean de Onoare al Municipiului Târgu Mureș” pentru personalități cu merite deosebite următoarelor persoane: </w:t>
      </w:r>
    </w:p>
    <w:p w14:paraId="6086C380" w14:textId="73D33111" w:rsidR="00B60254" w:rsidRDefault="00295967" w:rsidP="00B60254">
      <w:pPr>
        <w:spacing w:after="0" w:line="240" w:lineRule="auto"/>
        <w:jc w:val="both"/>
        <w:rPr>
          <w:rFonts w:ascii="Times New Roman" w:hAnsi="Times New Roman" w:cs="Times New Roman"/>
          <w:b/>
          <w:bCs/>
          <w:sz w:val="24"/>
          <w:szCs w:val="24"/>
        </w:rPr>
      </w:pPr>
      <w:r>
        <w:rPr>
          <w:rFonts w:ascii="Times New Roman" w:hAnsi="Times New Roman" w:cs="Times New Roman"/>
        </w:rPr>
        <w:t xml:space="preserve">- </w:t>
      </w:r>
    </w:p>
    <w:p w14:paraId="786CE0BE" w14:textId="043F626A" w:rsidR="00295967" w:rsidRDefault="00295967" w:rsidP="00295967">
      <w:pPr>
        <w:spacing w:after="0" w:line="240" w:lineRule="auto"/>
        <w:ind w:left="-426" w:firstLine="426"/>
        <w:jc w:val="both"/>
        <w:rPr>
          <w:rFonts w:ascii="Times New Roman" w:hAnsi="Times New Roman" w:cs="Times New Roman"/>
          <w:b/>
          <w:bCs/>
          <w:sz w:val="24"/>
          <w:szCs w:val="24"/>
        </w:rPr>
      </w:pPr>
    </w:p>
    <w:p w14:paraId="03F6CE24" w14:textId="77777777" w:rsidR="00295967" w:rsidRDefault="00295967" w:rsidP="00295967">
      <w:pPr>
        <w:spacing w:after="0" w:line="240" w:lineRule="auto"/>
        <w:ind w:left="-426"/>
        <w:jc w:val="both"/>
        <w:rPr>
          <w:rFonts w:ascii="Times New Roman" w:hAnsi="Times New Roman" w:cs="Times New Roman"/>
          <w:sz w:val="24"/>
          <w:szCs w:val="24"/>
        </w:rPr>
      </w:pPr>
      <w:r>
        <w:rPr>
          <w:rFonts w:ascii="Times New Roman" w:hAnsi="Times New Roman" w:cs="Times New Roman"/>
          <w:b/>
          <w:bCs/>
          <w:sz w:val="24"/>
          <w:szCs w:val="24"/>
        </w:rPr>
        <w:t>Art. 2</w:t>
      </w:r>
      <w:r>
        <w:rPr>
          <w:rFonts w:ascii="Times New Roman" w:hAnsi="Times New Roman" w:cs="Times New Roman"/>
          <w:sz w:val="24"/>
          <w:szCs w:val="24"/>
        </w:rPr>
        <w:t>. Cu aducerea la îndeplinire a prevederilor prezentei hotărâri se încredinţează Executivul Municipiului Târgu Mureş prin Direcţia Activități Social-Culturale, Patrimoniale și Comerciale – Serviciul Relații Interne și Internaționale.</w:t>
      </w:r>
    </w:p>
    <w:p w14:paraId="2E4EEAF5" w14:textId="77777777" w:rsidR="00295967" w:rsidRDefault="00295967" w:rsidP="00295967">
      <w:pPr>
        <w:spacing w:after="0" w:line="240" w:lineRule="auto"/>
        <w:ind w:left="-426"/>
        <w:jc w:val="both"/>
        <w:rPr>
          <w:rFonts w:ascii="Times New Roman" w:hAnsi="Times New Roman" w:cs="Times New Roman"/>
          <w:sz w:val="24"/>
          <w:szCs w:val="24"/>
        </w:rPr>
      </w:pPr>
      <w:r>
        <w:rPr>
          <w:rFonts w:ascii="Times New Roman" w:hAnsi="Times New Roman" w:cs="Times New Roman"/>
          <w:b/>
          <w:bCs/>
          <w:sz w:val="24"/>
          <w:szCs w:val="24"/>
        </w:rPr>
        <w:t>Art. 3</w:t>
      </w:r>
      <w:r>
        <w:rPr>
          <w:rFonts w:ascii="Times New Roman" w:hAnsi="Times New Roman" w:cs="Times New Roman"/>
          <w:sz w:val="24"/>
          <w:szCs w:val="24"/>
        </w:rPr>
        <w:t>. În conformitate cu prevederile art. 252, alin. (1) lit. „c” și ale art. 255 din O.U.G. nr. 57/2019 privind Codul administrativ, cu modificările și completările ulterioare, precum și ale art. 3, alin. (1) din Legea nr. 554/2004, privind contenciosul administrativ, prezenta Hotărâre se înaintează Prefectului Judeţului Mureş pentru exercitarea controlului de legalitate.</w:t>
      </w:r>
    </w:p>
    <w:p w14:paraId="24989578" w14:textId="77777777" w:rsidR="00295967" w:rsidRDefault="00295967" w:rsidP="00295967">
      <w:pPr>
        <w:spacing w:after="0" w:line="240" w:lineRule="auto"/>
        <w:ind w:left="-426"/>
        <w:jc w:val="both"/>
        <w:rPr>
          <w:rFonts w:ascii="Times New Roman" w:hAnsi="Times New Roman" w:cs="Times New Roman"/>
          <w:sz w:val="24"/>
          <w:szCs w:val="24"/>
        </w:rPr>
      </w:pPr>
      <w:r>
        <w:rPr>
          <w:rFonts w:ascii="Times New Roman" w:hAnsi="Times New Roman" w:cs="Times New Roman"/>
          <w:b/>
          <w:bCs/>
          <w:sz w:val="24"/>
          <w:szCs w:val="24"/>
        </w:rPr>
        <w:t xml:space="preserve">Art.4. </w:t>
      </w:r>
      <w:r>
        <w:rPr>
          <w:rFonts w:ascii="Times New Roman" w:hAnsi="Times New Roman" w:cs="Times New Roman"/>
          <w:sz w:val="24"/>
          <w:szCs w:val="24"/>
        </w:rPr>
        <w:t>Prezenta hotărâre se comunică Direcţiei Activități Social-Culturale, Patrimoniale și Comerciale – Serviciul Relații Interne și Internaționale.</w:t>
      </w:r>
    </w:p>
    <w:p w14:paraId="768AD677" w14:textId="77777777" w:rsidR="008D2BD1" w:rsidRDefault="008D2BD1" w:rsidP="00295967">
      <w:pPr>
        <w:spacing w:after="0" w:line="240" w:lineRule="auto"/>
        <w:ind w:left="-426"/>
        <w:jc w:val="both"/>
        <w:rPr>
          <w:rFonts w:ascii="Times New Roman" w:hAnsi="Times New Roman" w:cs="Times New Roman"/>
          <w:sz w:val="24"/>
          <w:szCs w:val="24"/>
        </w:rPr>
      </w:pPr>
    </w:p>
    <w:p w14:paraId="447C0BD4" w14:textId="77777777" w:rsidR="008D2BD1" w:rsidRDefault="008D2BD1" w:rsidP="00295967">
      <w:pPr>
        <w:spacing w:after="0" w:line="240" w:lineRule="auto"/>
        <w:ind w:left="-426"/>
        <w:jc w:val="both"/>
        <w:rPr>
          <w:rFonts w:ascii="Times New Roman" w:hAnsi="Times New Roman" w:cs="Times New Roman"/>
          <w:sz w:val="24"/>
          <w:szCs w:val="24"/>
        </w:rPr>
      </w:pPr>
    </w:p>
    <w:p w14:paraId="0CAAD59E" w14:textId="77777777" w:rsidR="00295967" w:rsidRDefault="00295967" w:rsidP="00295967">
      <w:pPr>
        <w:spacing w:after="0"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Viză de legalitate,</w:t>
      </w:r>
    </w:p>
    <w:p w14:paraId="10D1CAA5" w14:textId="77777777" w:rsidR="00295967" w:rsidRDefault="00295967" w:rsidP="00295967">
      <w:pPr>
        <w:spacing w:after="0"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Secretarul general al Municipiului Târgu Mureş</w:t>
      </w:r>
    </w:p>
    <w:p w14:paraId="5B57D0EA" w14:textId="77777777" w:rsidR="00295967" w:rsidRDefault="00295967" w:rsidP="00295967">
      <w:pPr>
        <w:spacing w:after="0"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Bordi Kinga</w:t>
      </w:r>
    </w:p>
    <w:p w14:paraId="52F68AF5" w14:textId="77777777" w:rsidR="00295967" w:rsidRDefault="00295967" w:rsidP="00295967">
      <w:pPr>
        <w:spacing w:after="0" w:line="240" w:lineRule="auto"/>
        <w:ind w:left="-426"/>
        <w:rPr>
          <w:rFonts w:ascii="Times New Roman" w:hAnsi="Times New Roman" w:cs="Times New Roman"/>
          <w:sz w:val="16"/>
          <w:szCs w:val="16"/>
        </w:rPr>
      </w:pPr>
    </w:p>
    <w:p w14:paraId="573DACB3" w14:textId="77777777" w:rsidR="00295967" w:rsidRDefault="00295967" w:rsidP="00295967">
      <w:pPr>
        <w:spacing w:after="0" w:line="240" w:lineRule="auto"/>
        <w:ind w:left="-426"/>
        <w:rPr>
          <w:rFonts w:ascii="Times New Roman" w:hAnsi="Times New Roman" w:cs="Times New Roman"/>
          <w:sz w:val="16"/>
          <w:szCs w:val="16"/>
        </w:rPr>
      </w:pPr>
    </w:p>
    <w:p w14:paraId="741724BE" w14:textId="77777777" w:rsidR="00295967" w:rsidRDefault="00295967" w:rsidP="00295967">
      <w:pPr>
        <w:spacing w:after="0" w:line="240" w:lineRule="auto"/>
        <w:ind w:left="-426"/>
        <w:rPr>
          <w:rFonts w:ascii="Times New Roman" w:hAnsi="Times New Roman" w:cs="Times New Roman"/>
          <w:b/>
          <w:bCs/>
          <w:sz w:val="24"/>
          <w:szCs w:val="24"/>
        </w:rPr>
      </w:pPr>
      <w:r>
        <w:rPr>
          <w:rFonts w:ascii="Times New Roman" w:hAnsi="Times New Roman" w:cs="Times New Roman"/>
          <w:sz w:val="16"/>
          <w:szCs w:val="16"/>
        </w:rPr>
        <w:t>*Actele administrative sunt hotărârile de Consiliu local care intră în vigoare și produc efecte juridice după îndeplinirea condițiilor prevăzute de art. 129, art. 139 din O.U.G. privind Codul administrativ, cu modificările și completările ulterioare</w:t>
      </w:r>
    </w:p>
    <w:p w14:paraId="15A04C3B" w14:textId="77777777" w:rsidR="00295967" w:rsidRDefault="00295967"/>
    <w:sectPr w:rsidR="00295967" w:rsidSect="00295967">
      <w:pgSz w:w="12240" w:h="15840"/>
      <w:pgMar w:top="142"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67"/>
    <w:rsid w:val="00295967"/>
    <w:rsid w:val="00531F00"/>
    <w:rsid w:val="006B029B"/>
    <w:rsid w:val="008D2BD1"/>
    <w:rsid w:val="00B6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57C1"/>
  <w15:chartTrackingRefBased/>
  <w15:docId w15:val="{945D0FF0-AAD2-4915-9C4B-CB11DC32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967"/>
    <w:pPr>
      <w:spacing w:line="252" w:lineRule="auto"/>
    </w:pPr>
    <w:rPr>
      <w:sz w:val="22"/>
      <w:szCs w:val="22"/>
      <w:lang w:val="ro-RO"/>
    </w:rPr>
  </w:style>
  <w:style w:type="paragraph" w:styleId="Heading1">
    <w:name w:val="heading 1"/>
    <w:basedOn w:val="Normal"/>
    <w:next w:val="Normal"/>
    <w:link w:val="Heading1Char"/>
    <w:uiPriority w:val="9"/>
    <w:qFormat/>
    <w:rsid w:val="0029596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29596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295967"/>
    <w:pPr>
      <w:keepNext/>
      <w:keepLines/>
      <w:spacing w:before="160" w:after="80" w:line="278" w:lineRule="auto"/>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295967"/>
    <w:pPr>
      <w:keepNext/>
      <w:keepLines/>
      <w:spacing w:before="80" w:after="40" w:line="278" w:lineRule="auto"/>
      <w:outlineLvl w:val="3"/>
    </w:pPr>
    <w:rPr>
      <w:rFonts w:eastAsiaTheme="majorEastAsia" w:cstheme="majorBidi"/>
      <w:i/>
      <w:iCs/>
      <w:color w:val="2F5496" w:themeColor="accent1" w:themeShade="BF"/>
      <w:sz w:val="24"/>
      <w:szCs w:val="24"/>
      <w:lang w:val="en-US"/>
    </w:rPr>
  </w:style>
  <w:style w:type="paragraph" w:styleId="Heading5">
    <w:name w:val="heading 5"/>
    <w:basedOn w:val="Normal"/>
    <w:next w:val="Normal"/>
    <w:link w:val="Heading5Char"/>
    <w:uiPriority w:val="9"/>
    <w:semiHidden/>
    <w:unhideWhenUsed/>
    <w:qFormat/>
    <w:rsid w:val="00295967"/>
    <w:pPr>
      <w:keepNext/>
      <w:keepLines/>
      <w:spacing w:before="80" w:after="40" w:line="278" w:lineRule="auto"/>
      <w:outlineLvl w:val="4"/>
    </w:pPr>
    <w:rPr>
      <w:rFonts w:eastAsiaTheme="majorEastAsia"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295967"/>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295967"/>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295967"/>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295967"/>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9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59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59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59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59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5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967"/>
    <w:rPr>
      <w:rFonts w:eastAsiaTheme="majorEastAsia" w:cstheme="majorBidi"/>
      <w:color w:val="272727" w:themeColor="text1" w:themeTint="D8"/>
    </w:rPr>
  </w:style>
  <w:style w:type="paragraph" w:styleId="Title">
    <w:name w:val="Title"/>
    <w:basedOn w:val="Normal"/>
    <w:next w:val="Normal"/>
    <w:link w:val="TitleChar"/>
    <w:uiPriority w:val="10"/>
    <w:qFormat/>
    <w:rsid w:val="00295967"/>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295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967"/>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295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967"/>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295967"/>
    <w:rPr>
      <w:i/>
      <w:iCs/>
      <w:color w:val="404040" w:themeColor="text1" w:themeTint="BF"/>
    </w:rPr>
  </w:style>
  <w:style w:type="paragraph" w:styleId="ListParagraph">
    <w:name w:val="List Paragraph"/>
    <w:basedOn w:val="Normal"/>
    <w:uiPriority w:val="34"/>
    <w:qFormat/>
    <w:rsid w:val="00295967"/>
    <w:pPr>
      <w:spacing w:line="278" w:lineRule="auto"/>
      <w:ind w:left="720"/>
      <w:contextualSpacing/>
    </w:pPr>
    <w:rPr>
      <w:sz w:val="24"/>
      <w:szCs w:val="24"/>
      <w:lang w:val="en-US"/>
    </w:rPr>
  </w:style>
  <w:style w:type="character" w:styleId="IntenseEmphasis">
    <w:name w:val="Intense Emphasis"/>
    <w:basedOn w:val="DefaultParagraphFont"/>
    <w:uiPriority w:val="21"/>
    <w:qFormat/>
    <w:rsid w:val="00295967"/>
    <w:rPr>
      <w:i/>
      <w:iCs/>
      <w:color w:val="2F5496" w:themeColor="accent1" w:themeShade="BF"/>
    </w:rPr>
  </w:style>
  <w:style w:type="paragraph" w:styleId="IntenseQuote">
    <w:name w:val="Intense Quote"/>
    <w:basedOn w:val="Normal"/>
    <w:next w:val="Normal"/>
    <w:link w:val="IntenseQuoteChar"/>
    <w:uiPriority w:val="30"/>
    <w:qFormat/>
    <w:rsid w:val="0029596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IntenseQuoteChar">
    <w:name w:val="Intense Quote Char"/>
    <w:basedOn w:val="DefaultParagraphFont"/>
    <w:link w:val="IntenseQuote"/>
    <w:uiPriority w:val="30"/>
    <w:rsid w:val="00295967"/>
    <w:rPr>
      <w:i/>
      <w:iCs/>
      <w:color w:val="2F5496" w:themeColor="accent1" w:themeShade="BF"/>
    </w:rPr>
  </w:style>
  <w:style w:type="character" w:styleId="IntenseReference">
    <w:name w:val="Intense Reference"/>
    <w:basedOn w:val="DefaultParagraphFont"/>
    <w:uiPriority w:val="32"/>
    <w:qFormat/>
    <w:rsid w:val="00295967"/>
    <w:rPr>
      <w:b/>
      <w:bCs/>
      <w:smallCaps/>
      <w:color w:val="2F5496" w:themeColor="accent1" w:themeShade="BF"/>
      <w:spacing w:val="5"/>
    </w:rPr>
  </w:style>
  <w:style w:type="table" w:styleId="TableGrid">
    <w:name w:val="Table Grid"/>
    <w:basedOn w:val="TableNormal"/>
    <w:uiPriority w:val="39"/>
    <w:rsid w:val="00295967"/>
    <w:pPr>
      <w:spacing w:after="0" w:line="240" w:lineRule="auto"/>
    </w:pPr>
    <w:rPr>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380922">
      <w:bodyDiv w:val="1"/>
      <w:marLeft w:val="0"/>
      <w:marRight w:val="0"/>
      <w:marTop w:val="0"/>
      <w:marBottom w:val="0"/>
      <w:divBdr>
        <w:top w:val="none" w:sz="0" w:space="0" w:color="auto"/>
        <w:left w:val="none" w:sz="0" w:space="0" w:color="auto"/>
        <w:bottom w:val="none" w:sz="0" w:space="0" w:color="auto"/>
        <w:right w:val="none" w:sz="0" w:space="0" w:color="auto"/>
      </w:divBdr>
    </w:div>
    <w:div w:id="1277831308">
      <w:bodyDiv w:val="1"/>
      <w:marLeft w:val="0"/>
      <w:marRight w:val="0"/>
      <w:marTop w:val="0"/>
      <w:marBottom w:val="0"/>
      <w:divBdr>
        <w:top w:val="none" w:sz="0" w:space="0" w:color="auto"/>
        <w:left w:val="none" w:sz="0" w:space="0" w:color="auto"/>
        <w:bottom w:val="none" w:sz="0" w:space="0" w:color="auto"/>
        <w:right w:val="none" w:sz="0" w:space="0" w:color="auto"/>
      </w:divBdr>
    </w:div>
    <w:div w:id="1780416910">
      <w:bodyDiv w:val="1"/>
      <w:marLeft w:val="0"/>
      <w:marRight w:val="0"/>
      <w:marTop w:val="0"/>
      <w:marBottom w:val="0"/>
      <w:divBdr>
        <w:top w:val="none" w:sz="0" w:space="0" w:color="auto"/>
        <w:left w:val="none" w:sz="0" w:space="0" w:color="auto"/>
        <w:bottom w:val="none" w:sz="0" w:space="0" w:color="auto"/>
        <w:right w:val="none" w:sz="0" w:space="0" w:color="auto"/>
      </w:divBdr>
    </w:div>
    <w:div w:id="1833444796">
      <w:bodyDiv w:val="1"/>
      <w:marLeft w:val="0"/>
      <w:marRight w:val="0"/>
      <w:marTop w:val="0"/>
      <w:marBottom w:val="0"/>
      <w:divBdr>
        <w:top w:val="none" w:sz="0" w:space="0" w:color="auto"/>
        <w:left w:val="none" w:sz="0" w:space="0" w:color="auto"/>
        <w:bottom w:val="none" w:sz="0" w:space="0" w:color="auto"/>
        <w:right w:val="none" w:sz="0" w:space="0" w:color="auto"/>
      </w:divBdr>
    </w:div>
    <w:div w:id="1855606424">
      <w:bodyDiv w:val="1"/>
      <w:marLeft w:val="0"/>
      <w:marRight w:val="0"/>
      <w:marTop w:val="0"/>
      <w:marBottom w:val="0"/>
      <w:divBdr>
        <w:top w:val="none" w:sz="0" w:space="0" w:color="auto"/>
        <w:left w:val="none" w:sz="0" w:space="0" w:color="auto"/>
        <w:bottom w:val="none" w:sz="0" w:space="0" w:color="auto"/>
        <w:right w:val="none" w:sz="0" w:space="0" w:color="auto"/>
      </w:divBdr>
    </w:div>
    <w:div w:id="186451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Lenovo</cp:lastModifiedBy>
  <cp:revision>3</cp:revision>
  <dcterms:created xsi:type="dcterms:W3CDTF">2025-06-18T11:15:00Z</dcterms:created>
  <dcterms:modified xsi:type="dcterms:W3CDTF">2025-06-19T07:09:00Z</dcterms:modified>
</cp:coreProperties>
</file>