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DCD1" w14:textId="4AB27B69" w:rsidR="00E37175" w:rsidRPr="00BB3420" w:rsidRDefault="00E37175" w:rsidP="006330AA">
      <w:pPr>
        <w:rPr>
          <w:rFonts w:ascii="Cambria" w:hAnsi="Cambria"/>
          <w:kern w:val="0"/>
          <w:sz w:val="22"/>
          <w:szCs w:val="22"/>
          <w14:ligatures w14:val="none"/>
        </w:rPr>
      </w:pPr>
      <w:r w:rsidRPr="004E5EDA">
        <w:rPr>
          <w:rFonts w:ascii="Cambria" w:hAnsi="Cambria"/>
          <w:b/>
          <w:bCs/>
          <w:sz w:val="22"/>
          <w:szCs w:val="22"/>
        </w:rPr>
        <w:t xml:space="preserve">Anexa nr. </w:t>
      </w:r>
      <w:r w:rsidR="004E5EDA">
        <w:rPr>
          <w:rFonts w:ascii="Cambria" w:hAnsi="Cambria"/>
          <w:b/>
          <w:bCs/>
          <w:sz w:val="22"/>
          <w:szCs w:val="22"/>
        </w:rPr>
        <w:t>6</w:t>
      </w:r>
      <w:r w:rsidRPr="00BB3420">
        <w:rPr>
          <w:rFonts w:ascii="Cambria" w:hAnsi="Cambria"/>
          <w:b/>
          <w:bCs/>
          <w:sz w:val="22"/>
          <w:szCs w:val="22"/>
        </w:rPr>
        <w:t xml:space="preserve"> la Hotărârea nr. ............/..............................</w:t>
      </w:r>
    </w:p>
    <w:p w14:paraId="1FE243C0" w14:textId="220A96D7" w:rsidR="00E37175" w:rsidRPr="00BB3420" w:rsidRDefault="00E37175" w:rsidP="00E37175">
      <w:pPr>
        <w:spacing w:after="0"/>
        <w:jc w:val="center"/>
        <w:rPr>
          <w:rFonts w:ascii="Cambria" w:hAnsi="Cambria"/>
          <w:b/>
          <w:bCs/>
          <w:sz w:val="22"/>
          <w:szCs w:val="22"/>
        </w:rPr>
      </w:pPr>
      <w:bookmarkStart w:id="0" w:name="_Hlk231461969"/>
      <w:r w:rsidRPr="00BB3420">
        <w:rPr>
          <w:rFonts w:ascii="Cambria" w:hAnsi="Cambria"/>
          <w:b/>
          <w:bCs/>
          <w:sz w:val="22"/>
          <w:szCs w:val="22"/>
        </w:rPr>
        <w:t xml:space="preserve">Structura contribuției financiare a U.A.T. </w:t>
      </w:r>
      <w:r w:rsidR="00DD13D1">
        <w:rPr>
          <w:rFonts w:ascii="Cambria" w:hAnsi="Cambria"/>
          <w:b/>
          <w:bCs/>
          <w:sz w:val="22"/>
          <w:szCs w:val="22"/>
        </w:rPr>
        <w:t>TÂRGU MUREȘ</w:t>
      </w:r>
      <w:r w:rsidRPr="00BB3420">
        <w:rPr>
          <w:rFonts w:ascii="Cambria" w:hAnsi="Cambria"/>
          <w:b/>
          <w:bCs/>
          <w:sz w:val="22"/>
          <w:szCs w:val="22"/>
        </w:rPr>
        <w:t xml:space="preserve"> aferente proiectului „Tren Metropolitan Mureș”</w:t>
      </w:r>
    </w:p>
    <w:bookmarkEnd w:id="0"/>
    <w:p w14:paraId="29106CC1" w14:textId="77777777" w:rsidR="00E37175" w:rsidRPr="00BB3420" w:rsidRDefault="00E37175" w:rsidP="00E37175">
      <w:pPr>
        <w:spacing w:after="0"/>
        <w:jc w:val="center"/>
        <w:rPr>
          <w:rFonts w:ascii="Cambria" w:hAnsi="Cambria"/>
          <w:kern w:val="0"/>
          <w:sz w:val="22"/>
          <w:szCs w:val="22"/>
          <w14:ligatures w14:val="none"/>
        </w:rPr>
      </w:pPr>
    </w:p>
    <w:p w14:paraId="464DE01C" w14:textId="3998043D" w:rsidR="00E37175" w:rsidRPr="00BB3420" w:rsidRDefault="00BB3420" w:rsidP="00E37175">
      <w:pPr>
        <w:spacing w:after="0"/>
        <w:jc w:val="both"/>
        <w:rPr>
          <w:rFonts w:ascii="Cambria" w:hAnsi="Cambria"/>
          <w:sz w:val="22"/>
          <w:szCs w:val="22"/>
        </w:rPr>
      </w:pPr>
      <w:r w:rsidRPr="00BB3420">
        <w:rPr>
          <w:rFonts w:ascii="Cambria" w:hAnsi="Cambria"/>
          <w:sz w:val="22"/>
          <w:szCs w:val="22"/>
        </w:rPr>
        <w:tab/>
      </w:r>
      <w:r w:rsidR="00E37175" w:rsidRPr="00BB3420">
        <w:rPr>
          <w:rFonts w:ascii="Cambria" w:hAnsi="Cambria"/>
          <w:sz w:val="22"/>
          <w:szCs w:val="22"/>
        </w:rPr>
        <w:t xml:space="preserve">Prezenta anexă detaliază categoriile de sume aprobate din bugetul local al U.A.T. </w:t>
      </w:r>
      <w:r w:rsidR="00DD13D1">
        <w:rPr>
          <w:rFonts w:ascii="Cambria" w:hAnsi="Cambria"/>
          <w:sz w:val="22"/>
          <w:szCs w:val="22"/>
        </w:rPr>
        <w:t>TÂRGU MUREȘ</w:t>
      </w:r>
      <w:r w:rsidR="00E37175" w:rsidRPr="00BB3420">
        <w:rPr>
          <w:rFonts w:ascii="Cambria" w:hAnsi="Cambria"/>
          <w:sz w:val="22"/>
          <w:szCs w:val="22"/>
        </w:rPr>
        <w:t xml:space="preserve"> pentru participarea </w:t>
      </w:r>
      <w:r w:rsidRPr="00BB3420">
        <w:rPr>
          <w:rFonts w:ascii="Cambria" w:hAnsi="Cambria"/>
          <w:sz w:val="22"/>
          <w:szCs w:val="22"/>
        </w:rPr>
        <w:t xml:space="preserve">Asociației de dezvoltare intercomunitară De Transport Public Feroviar ”Tren Metropolitan Mureș”, </w:t>
      </w:r>
      <w:r w:rsidR="00E37175" w:rsidRPr="00BB3420">
        <w:rPr>
          <w:rFonts w:ascii="Cambria" w:hAnsi="Cambria"/>
          <w:sz w:val="22"/>
          <w:szCs w:val="22"/>
        </w:rPr>
        <w:t>la proiect, în conformitate cu documentația tehnico-economică, devizul general și documentele de finanțare aplicabile.</w:t>
      </w:r>
    </w:p>
    <w:p w14:paraId="1D3E1591" w14:textId="77777777" w:rsidR="00E37175" w:rsidRPr="00BB3420" w:rsidRDefault="00E37175" w:rsidP="00E37175">
      <w:pPr>
        <w:spacing w:after="0"/>
        <w:jc w:val="both"/>
        <w:rPr>
          <w:rFonts w:ascii="Cambria" w:hAnsi="Cambria"/>
          <w:kern w:val="0"/>
          <w:sz w:val="22"/>
          <w:szCs w:val="22"/>
          <w14:ligatures w14:val="none"/>
        </w:rPr>
      </w:pPr>
    </w:p>
    <w:tbl>
      <w:tblPr>
        <w:tblStyle w:val="GridTable4-Accent1"/>
        <w:tblW w:w="4144" w:type="pct"/>
        <w:tblInd w:w="0" w:type="dxa"/>
        <w:tblLook w:val="04A0" w:firstRow="1" w:lastRow="0" w:firstColumn="1" w:lastColumn="0" w:noHBand="0" w:noVBand="1"/>
      </w:tblPr>
      <w:tblGrid>
        <w:gridCol w:w="932"/>
        <w:gridCol w:w="5908"/>
        <w:gridCol w:w="4722"/>
      </w:tblGrid>
      <w:tr w:rsidR="00FB45EF" w:rsidRPr="00BB3420" w14:paraId="4E6BBADD" w14:textId="77777777" w:rsidTr="00FB45EF">
        <w:tc>
          <w:tcPr>
            <w:tcW w:w="403" w:type="pct"/>
            <w:shd w:val="clear" w:color="auto" w:fill="83CAEB" w:themeFill="accent1" w:themeFillTint="66"/>
            <w:vAlign w:val="center"/>
            <w:hideMark/>
          </w:tcPr>
          <w:p w14:paraId="349B7753" w14:textId="77777777" w:rsidR="00FB45EF" w:rsidRPr="00BB3420" w:rsidRDefault="00FB45EF" w:rsidP="00582A31">
            <w:pPr>
              <w:rPr>
                <w:rFonts w:ascii="Cambria" w:hAnsi="Cambria"/>
                <w:sz w:val="22"/>
                <w:szCs w:val="22"/>
              </w:rPr>
            </w:pPr>
            <w:r w:rsidRPr="00BB3420">
              <w:rPr>
                <w:rFonts w:ascii="Cambria" w:hAnsi="Cambria"/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2555" w:type="pct"/>
            <w:shd w:val="clear" w:color="auto" w:fill="83CAEB" w:themeFill="accent1" w:themeFillTint="66"/>
            <w:vAlign w:val="center"/>
            <w:hideMark/>
          </w:tcPr>
          <w:p w14:paraId="4B3D8D3C" w14:textId="77777777" w:rsidR="00FB45EF" w:rsidRPr="00BB3420" w:rsidRDefault="00FB45EF" w:rsidP="00582A31">
            <w:pPr>
              <w:rPr>
                <w:rFonts w:ascii="Cambria" w:hAnsi="Cambria"/>
                <w:sz w:val="22"/>
                <w:szCs w:val="22"/>
              </w:rPr>
            </w:pPr>
            <w:r w:rsidRPr="00BB3420">
              <w:rPr>
                <w:rFonts w:ascii="Cambria" w:hAnsi="Cambria"/>
                <w:b/>
                <w:bCs/>
                <w:sz w:val="22"/>
                <w:szCs w:val="22"/>
              </w:rPr>
              <w:t>Categoria de cheltuială</w:t>
            </w:r>
          </w:p>
        </w:tc>
        <w:tc>
          <w:tcPr>
            <w:tcW w:w="2042" w:type="pct"/>
            <w:shd w:val="clear" w:color="auto" w:fill="83CAEB" w:themeFill="accent1" w:themeFillTint="66"/>
            <w:vAlign w:val="center"/>
            <w:hideMark/>
          </w:tcPr>
          <w:p w14:paraId="136007B9" w14:textId="28218689" w:rsidR="00FB45EF" w:rsidRPr="00BB3420" w:rsidRDefault="00FB45EF" w:rsidP="00582A31">
            <w:pPr>
              <w:rPr>
                <w:rFonts w:ascii="Cambria" w:hAnsi="Cambria"/>
                <w:sz w:val="22"/>
                <w:szCs w:val="22"/>
              </w:rPr>
            </w:pPr>
            <w:r w:rsidRPr="00BB3420">
              <w:rPr>
                <w:rFonts w:ascii="Cambria" w:hAnsi="Cambria"/>
                <w:b/>
                <w:bCs/>
                <w:sz w:val="22"/>
                <w:szCs w:val="22"/>
              </w:rPr>
              <w:t>Valoare (lei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 inclusiv TVA</w:t>
            </w:r>
            <w:r w:rsidRPr="00BB3420">
              <w:rPr>
                <w:rFonts w:ascii="Cambria" w:hAnsi="Cambria"/>
                <w:b/>
                <w:bCs/>
                <w:sz w:val="22"/>
                <w:szCs w:val="22"/>
              </w:rPr>
              <w:t>)</w:t>
            </w:r>
          </w:p>
        </w:tc>
      </w:tr>
      <w:tr w:rsidR="00FB45EF" w:rsidRPr="00BB3420" w14:paraId="63E557CD" w14:textId="77777777" w:rsidTr="00FB45EF">
        <w:tc>
          <w:tcPr>
            <w:tcW w:w="403" w:type="pct"/>
            <w:vAlign w:val="center"/>
            <w:hideMark/>
          </w:tcPr>
          <w:p w14:paraId="5DFAF111" w14:textId="5EF0F48F" w:rsidR="00FB45EF" w:rsidRPr="00BB3420" w:rsidRDefault="00FB45EF" w:rsidP="00582A3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555" w:type="pct"/>
            <w:vAlign w:val="center"/>
            <w:hideMark/>
          </w:tcPr>
          <w:p w14:paraId="7EFF0F8F" w14:textId="77777777" w:rsidR="00FB45EF" w:rsidRPr="00BB3420" w:rsidRDefault="00FB45EF" w:rsidP="00582A31">
            <w:pPr>
              <w:rPr>
                <w:rFonts w:ascii="Cambria" w:hAnsi="Cambria"/>
                <w:sz w:val="22"/>
                <w:szCs w:val="22"/>
              </w:rPr>
            </w:pPr>
            <w:r w:rsidRPr="00BB3420">
              <w:rPr>
                <w:rFonts w:ascii="Cambria" w:hAnsi="Cambria"/>
                <w:sz w:val="22"/>
                <w:szCs w:val="22"/>
              </w:rPr>
              <w:t>Cofinanțare aferentă fondurilor nerambursabile</w:t>
            </w:r>
          </w:p>
        </w:tc>
        <w:tc>
          <w:tcPr>
            <w:tcW w:w="2042" w:type="pct"/>
            <w:vAlign w:val="center"/>
            <w:hideMark/>
          </w:tcPr>
          <w:p w14:paraId="1A04E0DB" w14:textId="3B845DBC" w:rsidR="00FB45EF" w:rsidRPr="00BB3420" w:rsidRDefault="00DD13D1" w:rsidP="00582A31">
            <w:pPr>
              <w:rPr>
                <w:rFonts w:ascii="Cambria" w:hAnsi="Cambria"/>
                <w:sz w:val="22"/>
                <w:szCs w:val="22"/>
              </w:rPr>
            </w:pPr>
            <w:r w:rsidRPr="00DD13D1">
              <w:rPr>
                <w:rFonts w:ascii="Cambria" w:hAnsi="Cambria"/>
                <w:sz w:val="22"/>
                <w:szCs w:val="22"/>
              </w:rPr>
              <w:t>147,893.09</w:t>
            </w:r>
          </w:p>
        </w:tc>
      </w:tr>
      <w:tr w:rsidR="00FB45EF" w:rsidRPr="00BB3420" w14:paraId="1F27BB12" w14:textId="77777777" w:rsidTr="00FB45EF">
        <w:tc>
          <w:tcPr>
            <w:tcW w:w="403" w:type="pct"/>
            <w:vAlign w:val="center"/>
            <w:hideMark/>
          </w:tcPr>
          <w:p w14:paraId="70664270" w14:textId="0D677D6A" w:rsidR="00FB45EF" w:rsidRPr="00BB3420" w:rsidRDefault="00FB45EF" w:rsidP="00582A3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555" w:type="pct"/>
            <w:vAlign w:val="center"/>
            <w:hideMark/>
          </w:tcPr>
          <w:p w14:paraId="1E0FC344" w14:textId="77777777" w:rsidR="00FB45EF" w:rsidRPr="00BB3420" w:rsidRDefault="00FB45EF" w:rsidP="00582A31">
            <w:pPr>
              <w:rPr>
                <w:rFonts w:ascii="Cambria" w:hAnsi="Cambria"/>
                <w:sz w:val="22"/>
                <w:szCs w:val="22"/>
              </w:rPr>
            </w:pPr>
            <w:r w:rsidRPr="00BB3420">
              <w:rPr>
                <w:rFonts w:ascii="Cambria" w:hAnsi="Cambria"/>
                <w:sz w:val="22"/>
                <w:szCs w:val="22"/>
              </w:rPr>
              <w:t>Cheltuieli neeligibile aferente proiectului</w:t>
            </w:r>
          </w:p>
        </w:tc>
        <w:tc>
          <w:tcPr>
            <w:tcW w:w="2042" w:type="pct"/>
            <w:vAlign w:val="center"/>
            <w:hideMark/>
          </w:tcPr>
          <w:p w14:paraId="5DC2D5DA" w14:textId="61D9DB30" w:rsidR="00FB45EF" w:rsidRPr="00BB3420" w:rsidRDefault="00DD13D1" w:rsidP="00582A31">
            <w:pPr>
              <w:rPr>
                <w:rFonts w:ascii="Cambria" w:hAnsi="Cambria"/>
                <w:sz w:val="22"/>
                <w:szCs w:val="22"/>
              </w:rPr>
            </w:pPr>
            <w:r w:rsidRPr="00DD13D1">
              <w:rPr>
                <w:rFonts w:ascii="Cambria" w:hAnsi="Cambria"/>
                <w:sz w:val="22"/>
                <w:szCs w:val="22"/>
              </w:rPr>
              <w:t>8,147,166.15</w:t>
            </w:r>
          </w:p>
        </w:tc>
      </w:tr>
      <w:tr w:rsidR="00FB45EF" w:rsidRPr="00BB3420" w14:paraId="52E49E24" w14:textId="77777777" w:rsidTr="00FB45EF">
        <w:tc>
          <w:tcPr>
            <w:tcW w:w="403" w:type="pct"/>
            <w:vAlign w:val="center"/>
            <w:hideMark/>
          </w:tcPr>
          <w:p w14:paraId="399EDC62" w14:textId="77777777" w:rsidR="00FB45EF" w:rsidRPr="00BB3420" w:rsidRDefault="00FB45EF" w:rsidP="00582A3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5" w:type="pct"/>
            <w:vAlign w:val="center"/>
            <w:hideMark/>
          </w:tcPr>
          <w:p w14:paraId="1E796376" w14:textId="77777777" w:rsidR="00FB45EF" w:rsidRPr="00BB3420" w:rsidRDefault="00FB45EF" w:rsidP="00582A31">
            <w:pPr>
              <w:rPr>
                <w:rFonts w:ascii="Cambria" w:hAnsi="Cambria" w:cs="Times New Roman"/>
                <w:sz w:val="22"/>
                <w:szCs w:val="22"/>
              </w:rPr>
            </w:pPr>
            <w:r w:rsidRPr="00BB3420">
              <w:rPr>
                <w:rFonts w:ascii="Cambria" w:hAnsi="Cambria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042" w:type="pct"/>
            <w:vAlign w:val="center"/>
            <w:hideMark/>
          </w:tcPr>
          <w:p w14:paraId="31E960C3" w14:textId="747EEB69" w:rsidR="00FB45EF" w:rsidRPr="00BB3420" w:rsidRDefault="00DD13D1" w:rsidP="00582A31">
            <w:pPr>
              <w:rPr>
                <w:rFonts w:ascii="Cambria" w:hAnsi="Cambria"/>
                <w:sz w:val="22"/>
                <w:szCs w:val="22"/>
              </w:rPr>
            </w:pPr>
            <w:r w:rsidRPr="00DD13D1">
              <w:rPr>
                <w:rFonts w:ascii="Cambria" w:hAnsi="Cambria"/>
                <w:b/>
                <w:bCs/>
                <w:sz w:val="22"/>
                <w:szCs w:val="22"/>
              </w:rPr>
              <w:t>8,295,059.24</w:t>
            </w:r>
          </w:p>
        </w:tc>
      </w:tr>
    </w:tbl>
    <w:p w14:paraId="09C635BB" w14:textId="77777777" w:rsidR="00E37175" w:rsidRPr="00BB3420" w:rsidRDefault="00E37175" w:rsidP="00E37175">
      <w:pPr>
        <w:spacing w:after="0"/>
        <w:jc w:val="both"/>
        <w:rPr>
          <w:rFonts w:ascii="Cambria" w:hAnsi="Cambria"/>
          <w:b/>
          <w:bCs/>
          <w:sz w:val="22"/>
          <w:szCs w:val="22"/>
        </w:rPr>
      </w:pPr>
    </w:p>
    <w:p w14:paraId="69FBF112" w14:textId="7662BC4D" w:rsidR="00E37175" w:rsidRPr="00BB3420" w:rsidRDefault="00BB3420" w:rsidP="00E37175">
      <w:pPr>
        <w:spacing w:after="0"/>
        <w:jc w:val="both"/>
        <w:rPr>
          <w:rFonts w:ascii="Cambria" w:hAnsi="Cambria"/>
          <w:kern w:val="0"/>
          <w:sz w:val="22"/>
          <w:szCs w:val="22"/>
          <w14:ligatures w14:val="none"/>
        </w:rPr>
      </w:pPr>
      <w:r>
        <w:rPr>
          <w:rFonts w:ascii="Cambria" w:hAnsi="Cambria"/>
          <w:sz w:val="22"/>
          <w:szCs w:val="22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430"/>
        <w:gridCol w:w="2105"/>
        <w:gridCol w:w="2133"/>
        <w:gridCol w:w="2292"/>
      </w:tblGrid>
      <w:tr w:rsidR="006330AA" w:rsidRPr="006330AA" w14:paraId="7AE85E55" w14:textId="77777777" w:rsidTr="006330AA">
        <w:trPr>
          <w:trHeight w:val="300"/>
        </w:trPr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680E8" w14:textId="77777777" w:rsidR="006330AA" w:rsidRPr="006330AA" w:rsidRDefault="006330AA" w:rsidP="00633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F642" w14:textId="77777777" w:rsidR="006330AA" w:rsidRPr="006330AA" w:rsidRDefault="006330AA" w:rsidP="00633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21BD" w14:textId="77777777" w:rsidR="006330AA" w:rsidRPr="006330AA" w:rsidRDefault="006330AA" w:rsidP="00633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0861" w14:textId="77777777" w:rsidR="006330AA" w:rsidRPr="006330AA" w:rsidRDefault="006330AA" w:rsidP="00633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30AA" w:rsidRPr="006330AA" w14:paraId="7241918D" w14:textId="77777777" w:rsidTr="006330AA">
        <w:trPr>
          <w:trHeight w:val="3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CEB3" w14:textId="7C6D1D3C" w:rsidR="006330AA" w:rsidRPr="006330AA" w:rsidRDefault="006330AA" w:rsidP="006330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Buget local alocat per UAT -  PROIECT TMM </w:t>
            </w:r>
            <w:r w:rsidR="004978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în concordanță cu Devizul General</w:t>
            </w:r>
          </w:p>
        </w:tc>
      </w:tr>
      <w:tr w:rsidR="006330AA" w:rsidRPr="006330AA" w14:paraId="7F4C5E30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B6F9" w14:textId="77777777" w:rsidR="006330AA" w:rsidRPr="006330AA" w:rsidRDefault="006330AA" w:rsidP="006330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45BF" w14:textId="77777777" w:rsidR="006330AA" w:rsidRPr="006330AA" w:rsidRDefault="006330AA" w:rsidP="00633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9A1AF" w14:textId="77777777" w:rsidR="006330AA" w:rsidRPr="006330AA" w:rsidRDefault="006330AA" w:rsidP="00633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5C43" w14:textId="77777777" w:rsidR="006330AA" w:rsidRPr="006330AA" w:rsidRDefault="006330AA" w:rsidP="00633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30AA" w:rsidRPr="006330AA" w14:paraId="5527274C" w14:textId="77777777" w:rsidTr="004978B0">
        <w:trPr>
          <w:trHeight w:val="300"/>
        </w:trPr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2FC64E33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Buget cofinanțare cheltuieli eligibile (2%)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65B2D09E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Lei fără TVA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17FA324A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TVA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3CAEB" w:themeFill="accent1" w:themeFillTint="66"/>
            <w:noWrap/>
            <w:vAlign w:val="bottom"/>
            <w:hideMark/>
          </w:tcPr>
          <w:p w14:paraId="74680224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Lei cu TVA</w:t>
            </w:r>
          </w:p>
        </w:tc>
      </w:tr>
      <w:tr w:rsidR="006330AA" w:rsidRPr="006330AA" w14:paraId="3B3AC1A7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70FD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Municipiul Tîrgu Mureș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86B4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122,225.69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E9DB4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25,667.40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14D4F5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147,893.09</w:t>
            </w:r>
          </w:p>
        </w:tc>
      </w:tr>
      <w:tr w:rsidR="006330AA" w:rsidRPr="006330AA" w14:paraId="603A6243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E6E1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Municipiul Reghin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1CF4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47,362.97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A6F7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9,946.23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0E21FA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57,309.21</w:t>
            </w:r>
          </w:p>
        </w:tc>
      </w:tr>
      <w:tr w:rsidR="006330AA" w:rsidRPr="006330AA" w14:paraId="3C15D5BC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89A81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Orașul Iernut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C0B80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22,505.26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EFAA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4,726.11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940F25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27,231.36</w:t>
            </w:r>
          </w:p>
        </w:tc>
      </w:tr>
      <w:tr w:rsidR="006330AA" w:rsidRPr="006330AA" w14:paraId="33C52CD8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5583A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Orașul Luduș</w:t>
            </w:r>
          </w:p>
        </w:tc>
        <w:tc>
          <w:tcPr>
            <w:tcW w:w="754" w:type="pct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vAlign w:val="bottom"/>
            <w:hideMark/>
          </w:tcPr>
          <w:p w14:paraId="4406751F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32,313.30</w:t>
            </w:r>
          </w:p>
        </w:tc>
        <w:tc>
          <w:tcPr>
            <w:tcW w:w="7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0E1D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6,785.79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D23EF0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39,099.09</w:t>
            </w:r>
          </w:p>
        </w:tc>
      </w:tr>
      <w:tr w:rsidR="006330AA" w:rsidRPr="006330AA" w14:paraId="6BD38628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2207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Orașul Ungheni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2BED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20,622.53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60494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4,330.74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1A87AB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24,953.27</w:t>
            </w:r>
          </w:p>
        </w:tc>
      </w:tr>
      <w:tr w:rsidR="006330AA" w:rsidRPr="006330AA" w14:paraId="616AE340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A0F9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Bogata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22E47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1,943.47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607A7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408.13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504B70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2,351.60</w:t>
            </w:r>
          </w:p>
        </w:tc>
      </w:tr>
      <w:tr w:rsidR="006330AA" w:rsidRPr="006330AA" w14:paraId="1CDFE5D6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E6BD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Cuci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CE5C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1,826.54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4FE7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383.57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271866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2,210.11</w:t>
            </w:r>
          </w:p>
        </w:tc>
      </w:tr>
      <w:tr w:rsidR="006330AA" w:rsidRPr="006330AA" w14:paraId="3451EF5A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01FB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Ogra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DFB5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2,572.32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27AD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540.20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02FA87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3,112.52</w:t>
            </w:r>
          </w:p>
        </w:tc>
      </w:tr>
      <w:tr w:rsidR="006330AA" w:rsidRPr="006330AA" w14:paraId="377C34A9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80F29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Sânpaul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A6BF7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4,550.56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B4EE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955.61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55CBE7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5,506.16</w:t>
            </w:r>
          </w:p>
        </w:tc>
      </w:tr>
      <w:tr w:rsidR="006330AA" w:rsidRPr="006330AA" w14:paraId="023DCD3B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D05C5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Cristești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3042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5,890.45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17B6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1,237.00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6D82C0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7,127.45</w:t>
            </w:r>
          </w:p>
        </w:tc>
      </w:tr>
      <w:tr w:rsidR="006330AA" w:rsidRPr="006330AA" w14:paraId="2C9326BF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FCDE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Sângeorgiu de Mureș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F9F79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20,238.47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D918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4,250.08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865C63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24,488.55</w:t>
            </w:r>
          </w:p>
        </w:tc>
      </w:tr>
      <w:tr w:rsidR="006330AA" w:rsidRPr="006330AA" w14:paraId="284E230F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2CA1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Comuna Ernei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DBA8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18,861.99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743B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3,961.01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18B7C1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22,823.00</w:t>
            </w:r>
          </w:p>
        </w:tc>
      </w:tr>
      <w:tr w:rsidR="006330AA" w:rsidRPr="006330AA" w14:paraId="67F6FF39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B5EA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Gornești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6A614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5,342.71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1F77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1,121.97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29D5AC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6,464.67</w:t>
            </w:r>
          </w:p>
        </w:tc>
      </w:tr>
      <w:tr w:rsidR="006330AA" w:rsidRPr="006330AA" w14:paraId="103BD18B" w14:textId="77777777" w:rsidTr="006330AA">
        <w:trPr>
          <w:trHeight w:val="34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AA2273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Petelea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F8491A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3,252.79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19548A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683.08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CD3A21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3,935.87</w:t>
            </w:r>
          </w:p>
        </w:tc>
      </w:tr>
      <w:tr w:rsidR="006330AA" w:rsidRPr="006330AA" w14:paraId="1445259E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274E5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6642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309,509.05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CF7D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64,996.92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ABC43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374,505.95</w:t>
            </w:r>
          </w:p>
        </w:tc>
      </w:tr>
      <w:tr w:rsidR="006330AA" w:rsidRPr="006330AA" w14:paraId="7DBF5DA6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0D89E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0468" w14:textId="77777777" w:rsidR="006330AA" w:rsidRPr="006330AA" w:rsidRDefault="006330AA" w:rsidP="00633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EFE8" w14:textId="77777777" w:rsidR="006330AA" w:rsidRPr="006330AA" w:rsidRDefault="006330AA" w:rsidP="00633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874C" w14:textId="77777777" w:rsidR="006330AA" w:rsidRPr="006330AA" w:rsidRDefault="006330AA" w:rsidP="00633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30AA" w:rsidRPr="006330AA" w14:paraId="3E28C245" w14:textId="77777777" w:rsidTr="006330AA">
        <w:trPr>
          <w:trHeight w:val="300"/>
        </w:trPr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B0DA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Buget finanțare cheltuieli ne-eligibile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654C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Lei fără TVA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0719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TVA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9938E7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Lei cu TVA</w:t>
            </w:r>
          </w:p>
        </w:tc>
      </w:tr>
      <w:tr w:rsidR="006330AA" w:rsidRPr="006330AA" w14:paraId="71ABB885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1AE6D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Municipiul Tîrgu Mureș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71E1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6,736,271.48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675E3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1,410,894.65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658BAA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8,147,166.15</w:t>
            </w:r>
          </w:p>
        </w:tc>
      </w:tr>
      <w:tr w:rsidR="006330AA" w:rsidRPr="006330AA" w14:paraId="5A115535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B642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Municipiul Reghin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6EA0E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3,184,892.43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DDA07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665,041.16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520834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3,849,933.59</w:t>
            </w:r>
          </w:p>
        </w:tc>
      </w:tr>
      <w:tr w:rsidR="006330AA" w:rsidRPr="006330AA" w14:paraId="3511C853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EB36F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Orașul Iernut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99B7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2,098,561.69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ED02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437,231.80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980C05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2,535,793.48</w:t>
            </w:r>
          </w:p>
        </w:tc>
      </w:tr>
      <w:tr w:rsidR="006330AA" w:rsidRPr="006330AA" w14:paraId="35E7A324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EDF3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Orașul Luduș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35EE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2,569,839.49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0BD34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535,806.36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B77A9C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3,105,645.85</w:t>
            </w:r>
          </w:p>
        </w:tc>
      </w:tr>
      <w:tr w:rsidR="006330AA" w:rsidRPr="006330AA" w14:paraId="7C962C06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6835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Orașul Ungheni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81B6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2,177,216.10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EF65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453,587.59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84CC16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2,630,803.69</w:t>
            </w:r>
          </w:p>
        </w:tc>
      </w:tr>
      <w:tr w:rsidR="006330AA" w:rsidRPr="006330AA" w14:paraId="17A3ACA1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DFB0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Bogata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92002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107,111.08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A1A1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22,434.14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0E5A1B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129,545.22</w:t>
            </w:r>
          </w:p>
        </w:tc>
      </w:tr>
      <w:tr w:rsidR="006330AA" w:rsidRPr="006330AA" w14:paraId="3A20D961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68C3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Cuci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FD99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100,667.01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9AB0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21,084.44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955669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121,751.45</w:t>
            </w:r>
          </w:p>
        </w:tc>
      </w:tr>
      <w:tr w:rsidR="006330AA" w:rsidRPr="006330AA" w14:paraId="37781691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32E9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Ogra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D1DC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141,769.79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CE20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29,693.31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85600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171,463.10</w:t>
            </w:r>
          </w:p>
        </w:tc>
      </w:tr>
      <w:tr w:rsidR="006330AA" w:rsidRPr="006330AA" w14:paraId="656379A3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86FB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Sânpaul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F78B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250,796.67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575A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52,528.71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A8F8F3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303,325.38</w:t>
            </w:r>
          </w:p>
        </w:tc>
      </w:tr>
      <w:tr w:rsidR="006330AA" w:rsidRPr="006330AA" w14:paraId="59C53DEA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E499E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Cristești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FF59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324,642.36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E813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67,995.51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CE0C92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392,637.87</w:t>
            </w:r>
          </w:p>
        </w:tc>
      </w:tr>
      <w:tr w:rsidR="006330AA" w:rsidRPr="006330AA" w14:paraId="3BAB8990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52407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Sângeorgiu de Mureș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42192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1,979,593.36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AFA3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413,039.63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66D2A4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2,392,632.99</w:t>
            </w:r>
          </w:p>
        </w:tc>
      </w:tr>
      <w:tr w:rsidR="006330AA" w:rsidRPr="006330AA" w14:paraId="77496465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24B1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Ernei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69CD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1,769,589.93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4AC98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368,727.29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AE3C3A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2,138,317.22</w:t>
            </w:r>
          </w:p>
        </w:tc>
      </w:tr>
      <w:tr w:rsidR="006330AA" w:rsidRPr="006330AA" w14:paraId="4B5991DF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D6309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Gornești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4323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294,454.44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55AA6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61,672.72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37057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356,127.17</w:t>
            </w:r>
          </w:p>
        </w:tc>
      </w:tr>
      <w:tr w:rsidR="006330AA" w:rsidRPr="006330AA" w14:paraId="20A9B083" w14:textId="77777777" w:rsidTr="006330AA">
        <w:trPr>
          <w:trHeight w:val="34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3DF0CD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Petelea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4BCBAD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179,272.60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D19891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37,548.18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D6E204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216,820.78</w:t>
            </w:r>
          </w:p>
        </w:tc>
      </w:tr>
      <w:tr w:rsidR="006330AA" w:rsidRPr="006330AA" w14:paraId="247364B5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4B36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243D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21,914,678.43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3F41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4,577,285.49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8DA3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26,491,963.94</w:t>
            </w:r>
          </w:p>
        </w:tc>
      </w:tr>
      <w:tr w:rsidR="006330AA" w:rsidRPr="006330AA" w14:paraId="4C0A651D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39F5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B73C6" w14:textId="77777777" w:rsidR="006330AA" w:rsidRPr="006330AA" w:rsidRDefault="006330AA" w:rsidP="00633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551DD" w14:textId="77777777" w:rsidR="006330AA" w:rsidRPr="006330AA" w:rsidRDefault="006330AA" w:rsidP="00633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26A72" w14:textId="77777777" w:rsidR="006330AA" w:rsidRPr="006330AA" w:rsidRDefault="006330AA" w:rsidP="00633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30AA" w:rsidRPr="006330AA" w14:paraId="18AA3357" w14:textId="77777777" w:rsidTr="006330AA">
        <w:trPr>
          <w:trHeight w:val="300"/>
        </w:trPr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5F13C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Buget Local cofinanțare eligibile + finanțare neeligibile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4739F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Lei fără TVA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7905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TVA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3A1FD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Lei cu TVA</w:t>
            </w:r>
          </w:p>
        </w:tc>
      </w:tr>
      <w:tr w:rsidR="006330AA" w:rsidRPr="006330AA" w14:paraId="5D861E80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04E92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Municipiul Tîrgu Mureș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1932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6,858,497.17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A6B0E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1,436,562.05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9D466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8,295,059.24</w:t>
            </w:r>
          </w:p>
        </w:tc>
      </w:tr>
      <w:tr w:rsidR="006330AA" w:rsidRPr="006330AA" w14:paraId="4D4D4761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CFF58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Municipiul Reghin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CD3EC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3,232,255.40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CF70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674,987.39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D932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3,907,242.80</w:t>
            </w:r>
          </w:p>
        </w:tc>
      </w:tr>
      <w:tr w:rsidR="006330AA" w:rsidRPr="006330AA" w14:paraId="7F2559FE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82384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Orașul Iernut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7392C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2,121,066.95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2BFE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441,957.91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9567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2,563,024.84</w:t>
            </w:r>
          </w:p>
        </w:tc>
      </w:tr>
      <w:tr w:rsidR="006330AA" w:rsidRPr="006330AA" w14:paraId="2C8165B0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73B6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Orașul Luduș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F27E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2,602,152.79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C2C2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542,592.15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7766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3,144,744.94</w:t>
            </w:r>
          </w:p>
        </w:tc>
      </w:tr>
      <w:tr w:rsidR="006330AA" w:rsidRPr="006330AA" w14:paraId="608BA62B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6DE69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Orașul Ungheni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F5B4E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2,197,838.63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8E3C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457,918.33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77E6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2,655,756.96</w:t>
            </w:r>
          </w:p>
        </w:tc>
      </w:tr>
      <w:tr w:rsidR="006330AA" w:rsidRPr="006330AA" w14:paraId="14B70254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A3DF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Bogata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A391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109,054.55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A754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22,842.27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F717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131,896.82</w:t>
            </w:r>
          </w:p>
        </w:tc>
      </w:tr>
      <w:tr w:rsidR="006330AA" w:rsidRPr="006330AA" w14:paraId="281B5960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033E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Cuci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3A3E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102,493.55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51266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21,468.01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F9D89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123,961.56</w:t>
            </w:r>
          </w:p>
        </w:tc>
      </w:tr>
      <w:tr w:rsidR="006330AA" w:rsidRPr="006330AA" w14:paraId="27301AF2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9217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Ogra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14A82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144,342.11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42203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30,233.51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9D30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174,575.62</w:t>
            </w:r>
          </w:p>
        </w:tc>
      </w:tr>
      <w:tr w:rsidR="006330AA" w:rsidRPr="006330AA" w14:paraId="6E950147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8DF4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Sânpaul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B3E3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255,347.23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1FB08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53,484.32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84D95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308,831.54</w:t>
            </w:r>
          </w:p>
        </w:tc>
      </w:tr>
      <w:tr w:rsidR="006330AA" w:rsidRPr="006330AA" w14:paraId="7CFE02DC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EAD1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Cristești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2EAB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330,532.81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0853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69,232.51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2673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399,765.32</w:t>
            </w:r>
          </w:p>
        </w:tc>
      </w:tr>
      <w:tr w:rsidR="006330AA" w:rsidRPr="006330AA" w14:paraId="4CD30277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0A024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Sângeorgiu de Mureș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C6668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1,999,831.83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1A21D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417,289.71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EF74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2,417,121.54</w:t>
            </w:r>
          </w:p>
        </w:tc>
      </w:tr>
      <w:tr w:rsidR="006330AA" w:rsidRPr="006330AA" w14:paraId="2AA58200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27A74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Ernei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8B36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1,788,451.92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4CA4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372,688.30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E07FE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2,161,140.22</w:t>
            </w:r>
          </w:p>
        </w:tc>
      </w:tr>
      <w:tr w:rsidR="006330AA" w:rsidRPr="006330AA" w14:paraId="75F5B7C0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14F7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Gornești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0ED7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299,797.15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4100C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62,794.69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849D7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362,591.84</w:t>
            </w:r>
          </w:p>
        </w:tc>
      </w:tr>
      <w:tr w:rsidR="006330AA" w:rsidRPr="006330AA" w14:paraId="78C234D3" w14:textId="77777777" w:rsidTr="006330AA">
        <w:trPr>
          <w:trHeight w:val="34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973EED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Petelea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05CE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182,525.39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857A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38,231.26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8AC3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220,756.65</w:t>
            </w:r>
          </w:p>
        </w:tc>
      </w:tr>
      <w:tr w:rsidR="006330AA" w:rsidRPr="006330AA" w14:paraId="54E707E7" w14:textId="77777777" w:rsidTr="006330AA">
        <w:trPr>
          <w:trHeight w:val="300"/>
        </w:trPr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188A0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7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3346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22,224,187.48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D368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4,642,282.41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017E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26,866,469.89</w:t>
            </w:r>
          </w:p>
        </w:tc>
      </w:tr>
      <w:tr w:rsidR="006330AA" w:rsidRPr="006330AA" w14:paraId="3405A216" w14:textId="77777777" w:rsidTr="006330AA">
        <w:trPr>
          <w:trHeight w:val="300"/>
        </w:trPr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70D8C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F8B86" w14:textId="77777777" w:rsidR="006330AA" w:rsidRPr="006330AA" w:rsidRDefault="006330AA" w:rsidP="00633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88173" w14:textId="77777777" w:rsidR="006330AA" w:rsidRPr="006330AA" w:rsidRDefault="006330AA" w:rsidP="00633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AF6AA" w14:textId="77777777" w:rsidR="006330AA" w:rsidRPr="006330AA" w:rsidRDefault="006330AA" w:rsidP="00633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30AA" w:rsidRPr="006330AA" w14:paraId="395BA204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80706" w14:textId="77777777" w:rsidR="006330AA" w:rsidRPr="006330AA" w:rsidRDefault="006330AA" w:rsidP="00633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53A3" w14:textId="77777777" w:rsidR="006330AA" w:rsidRPr="006330AA" w:rsidRDefault="006330AA" w:rsidP="00633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619E" w14:textId="77777777" w:rsidR="006330AA" w:rsidRPr="006330AA" w:rsidRDefault="006330AA" w:rsidP="00633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B639" w14:textId="77777777" w:rsidR="006330AA" w:rsidRPr="006330AA" w:rsidRDefault="006330AA" w:rsidP="00633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30AA" w:rsidRPr="006330AA" w14:paraId="39E06552" w14:textId="77777777" w:rsidTr="006330AA">
        <w:trPr>
          <w:trHeight w:val="300"/>
        </w:trPr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5038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Buget Local cheltuieli eligibile - PROIECT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22DF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Lei fără TVA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BD80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TVA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F18DF9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Lei cu TVA</w:t>
            </w:r>
          </w:p>
        </w:tc>
      </w:tr>
      <w:tr w:rsidR="006330AA" w:rsidRPr="006330AA" w14:paraId="2774C0D7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C8C9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Municipiul Tîrgu Mureș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2CA98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6,111,284.68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30190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1,279,647.41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EFAAB6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7,390,932.09</w:t>
            </w:r>
          </w:p>
        </w:tc>
      </w:tr>
      <w:tr w:rsidR="006330AA" w:rsidRPr="006330AA" w14:paraId="03778C41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BED6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Municipiul Reghin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40391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2,368,148.39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993C2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493,524.90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1681A0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2,861,673.29</w:t>
            </w:r>
          </w:p>
        </w:tc>
      </w:tr>
      <w:tr w:rsidR="006330AA" w:rsidRPr="006330AA" w14:paraId="64461D84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C44C6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Orașul Iernut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2B62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1,125,262.02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82513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232,838.88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C2EE8B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1,358,100.90</w:t>
            </w:r>
          </w:p>
        </w:tc>
      </w:tr>
      <w:tr w:rsidR="006330AA" w:rsidRPr="006330AA" w14:paraId="0117D803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34AE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Orașul Luduș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EE58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1,615,664.80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09ED3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335,429.69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CA0468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1,951,094.49</w:t>
            </w:r>
          </w:p>
        </w:tc>
      </w:tr>
      <w:tr w:rsidR="006330AA" w:rsidRPr="006330AA" w14:paraId="4A00FEFD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907C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Orașul Ungheni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8AA9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1,031,126.47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61C8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212,908.77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20F26C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1,244,035.24</w:t>
            </w:r>
          </w:p>
        </w:tc>
      </w:tr>
      <w:tr w:rsidR="006330AA" w:rsidRPr="006330AA" w14:paraId="142C7FB9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FD03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Bogata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3268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97,173.39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A336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20,347.22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AD29E1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117,520.61</w:t>
            </w:r>
          </w:p>
        </w:tc>
      </w:tr>
      <w:tr w:rsidR="006330AA" w:rsidRPr="006330AA" w14:paraId="5EEE4E9B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C8DAA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Cuci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61BC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91,327.18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653B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19,123.08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D4C8C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110,450.26</w:t>
            </w:r>
          </w:p>
        </w:tc>
      </w:tr>
      <w:tr w:rsidR="006330AA" w:rsidRPr="006330AA" w14:paraId="39C9B429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6F8A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Ogra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5FC29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128,616.49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7BAD6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26,931.13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578D05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155,547.62</w:t>
            </w:r>
          </w:p>
        </w:tc>
      </w:tr>
      <w:tr w:rsidR="006330AA" w:rsidRPr="006330AA" w14:paraId="48BF228C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5D58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Sânpaul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AFAA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227,527.92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FD86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47,642.27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F3E5AF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275,170.19</w:t>
            </w:r>
          </w:p>
        </w:tc>
      </w:tr>
      <w:tr w:rsidR="006330AA" w:rsidRPr="006330AA" w14:paraId="422A016D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22A2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Cristești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8F86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294,522.27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C605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61,670.29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458C73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356,192.56</w:t>
            </w:r>
          </w:p>
        </w:tc>
      </w:tr>
      <w:tr w:rsidR="006330AA" w:rsidRPr="006330AA" w14:paraId="6F50B168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590C8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Sângeorgiu de Mureș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02EDB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1,011,923.48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7E79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209,828.97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1AA59F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1,221,752.45</w:t>
            </w:r>
          </w:p>
        </w:tc>
      </w:tr>
      <w:tr w:rsidR="006330AA" w:rsidRPr="006330AA" w14:paraId="05B3CB4C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CB29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Ernei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986C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943,100.29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C2760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195,164.47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2F53EE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1,138,264.76</w:t>
            </w:r>
          </w:p>
        </w:tc>
      </w:tr>
      <w:tr w:rsidR="006330AA" w:rsidRPr="006330AA" w14:paraId="5465B057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E36C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Gornești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84A5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267,135.17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482B0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55,935.67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565E1F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323,070.84</w:t>
            </w:r>
          </w:p>
        </w:tc>
      </w:tr>
      <w:tr w:rsidR="006330AA" w:rsidRPr="006330AA" w14:paraId="624C1A0A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2AD4B8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Comuna Petelea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6BE2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162,639.81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AC386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34,055.30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3BC045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196,695.11</w:t>
            </w:r>
          </w:p>
        </w:tc>
      </w:tr>
      <w:tr w:rsidR="006330AA" w:rsidRPr="006330AA" w14:paraId="0B91D76D" w14:textId="77777777" w:rsidTr="006330AA">
        <w:trPr>
          <w:trHeight w:val="300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DEF5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1101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15,475,452.36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E2F74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3,225,048.05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31AE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18,700,500.41</w:t>
            </w:r>
          </w:p>
        </w:tc>
      </w:tr>
      <w:tr w:rsidR="006330AA" w:rsidRPr="006330AA" w14:paraId="3CF6E99B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23C5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3F17" w14:textId="77777777" w:rsidR="006330AA" w:rsidRPr="006330AA" w:rsidRDefault="006330AA" w:rsidP="00633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3F3A" w14:textId="77777777" w:rsidR="006330AA" w:rsidRPr="006330AA" w:rsidRDefault="006330AA" w:rsidP="00633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E873C" w14:textId="77777777" w:rsidR="006330AA" w:rsidRPr="006330AA" w:rsidRDefault="006330AA" w:rsidP="00633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330AA" w:rsidRPr="006330AA" w14:paraId="574BC834" w14:textId="77777777" w:rsidTr="006330AA">
        <w:trPr>
          <w:trHeight w:val="300"/>
        </w:trPr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ACDB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Total Buget Local PROIECT</w:t>
            </w:r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4DAF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Lei fără TVA</w:t>
            </w:r>
          </w:p>
        </w:tc>
        <w:tc>
          <w:tcPr>
            <w:tcW w:w="7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23A5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TVA</w:t>
            </w:r>
          </w:p>
        </w:tc>
        <w:tc>
          <w:tcPr>
            <w:tcW w:w="82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612818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Lei cu TVA</w:t>
            </w:r>
          </w:p>
        </w:tc>
      </w:tr>
      <w:tr w:rsidR="006330AA" w:rsidRPr="006330AA" w14:paraId="0A764E57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C6888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Municipiul Tîrgu Mureș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E3A0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12,847,556.23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5022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2,690,542.03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560E7B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15,538,098.28</w:t>
            </w:r>
          </w:p>
        </w:tc>
      </w:tr>
      <w:tr w:rsidR="006330AA" w:rsidRPr="006330AA" w14:paraId="176DD529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2848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Municipiul Reghin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59B5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5,553,040.81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4187E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1,158,566.07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0C8C43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6,711,606.87</w:t>
            </w:r>
          </w:p>
        </w:tc>
      </w:tr>
      <w:tr w:rsidR="006330AA" w:rsidRPr="006330AA" w14:paraId="127C3F4A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522B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Orașul Iernut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3861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3,223,823.70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7A559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670,070.67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EF2572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3,893,894.37</w:t>
            </w:r>
          </w:p>
        </w:tc>
      </w:tr>
      <w:tr w:rsidR="006330AA" w:rsidRPr="006330AA" w14:paraId="4E9BCE59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4A830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Orașul Luduș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51D05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4,185,504.28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0BA8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871,236.05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C6E069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5,056,740.33</w:t>
            </w:r>
          </w:p>
        </w:tc>
      </w:tr>
      <w:tr w:rsidR="006330AA" w:rsidRPr="006330AA" w14:paraId="3E5B7DCB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7FAA2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Orașul Ungheni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6EB93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3,208,342.56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82E41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666,496.36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C37B3C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3,874,838.92</w:t>
            </w:r>
          </w:p>
        </w:tc>
      </w:tr>
      <w:tr w:rsidR="006330AA" w:rsidRPr="006330AA" w14:paraId="559E76F2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BC25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Bogata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CAC2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204,284.46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23CDC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42,781.36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F5893B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247,065.82</w:t>
            </w:r>
          </w:p>
        </w:tc>
      </w:tr>
      <w:tr w:rsidR="006330AA" w:rsidRPr="006330AA" w14:paraId="351735F8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0BF0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Cuci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D0DB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191,994.19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0CCB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40,207.53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B09A2A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232,201.72</w:t>
            </w:r>
          </w:p>
        </w:tc>
      </w:tr>
      <w:tr w:rsidR="006330AA" w:rsidRPr="006330AA" w14:paraId="0FE537FA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E368C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Ogra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6F54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270,386.27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B484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56,624.44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402556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327,010.71</w:t>
            </w:r>
          </w:p>
        </w:tc>
      </w:tr>
      <w:tr w:rsidR="006330AA" w:rsidRPr="006330AA" w14:paraId="5E5F8A18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1C3A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Sânpaul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4D5EE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478,324.60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FE4C6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100,170.99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086D8E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578,495.59</w:t>
            </w:r>
          </w:p>
        </w:tc>
      </w:tr>
      <w:tr w:rsidR="006330AA" w:rsidRPr="006330AA" w14:paraId="5A96EA1C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ACB0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Cristești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AA79D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619,164.63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1D68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129,665.80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6E03DD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748,830.43</w:t>
            </w:r>
          </w:p>
        </w:tc>
      </w:tr>
      <w:tr w:rsidR="006330AA" w:rsidRPr="006330AA" w14:paraId="5CBB59D9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102E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Sângeorgiu de Mureș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B704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2,991,516.83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EC30F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622,868.60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5DEF8B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3,614,385.43</w:t>
            </w:r>
          </w:p>
        </w:tc>
      </w:tr>
      <w:tr w:rsidR="006330AA" w:rsidRPr="006330AA" w14:paraId="1DDE1DEE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B612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Ernei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F9B05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2,712,690.22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D76B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563,891.76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172474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3,276,581.98</w:t>
            </w:r>
          </w:p>
        </w:tc>
      </w:tr>
      <w:tr w:rsidR="006330AA" w:rsidRPr="006330AA" w14:paraId="61F228C3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F83E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Gornești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58FC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561,589.62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09C21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117,608.40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327D00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679,198.02</w:t>
            </w:r>
          </w:p>
        </w:tc>
      </w:tr>
      <w:tr w:rsidR="006330AA" w:rsidRPr="006330AA" w14:paraId="0DD8C69C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12B0C9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Petelea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4D0BB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341,912.41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7B3D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71,603.49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C9CD0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413,515.90</w:t>
            </w:r>
          </w:p>
        </w:tc>
      </w:tr>
      <w:tr w:rsidR="006330AA" w:rsidRPr="006330AA" w14:paraId="1550ABC2" w14:textId="77777777" w:rsidTr="006330AA">
        <w:trPr>
          <w:trHeight w:val="300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8097D" w14:textId="77777777" w:rsidR="006330AA" w:rsidRPr="006330AA" w:rsidRDefault="006330AA" w:rsidP="006330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Stații lucări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F0CD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37,390,130.80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D3FF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7,802,333.55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BAA49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6330A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45,192,464.36</w:t>
            </w:r>
          </w:p>
        </w:tc>
      </w:tr>
      <w:tr w:rsidR="006330AA" w:rsidRPr="006330AA" w14:paraId="01E8F7FB" w14:textId="77777777" w:rsidTr="006330AA">
        <w:trPr>
          <w:trHeight w:val="320"/>
        </w:trPr>
        <w:tc>
          <w:tcPr>
            <w:tcW w:w="26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E0E8" w14:textId="77777777" w:rsidR="006330AA" w:rsidRPr="006330AA" w:rsidRDefault="006330AA" w:rsidP="006330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5FD4D" w14:textId="77777777" w:rsidR="006330AA" w:rsidRPr="006330AA" w:rsidRDefault="006330AA" w:rsidP="00633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31E5C" w14:textId="77777777" w:rsidR="006330AA" w:rsidRPr="006330AA" w:rsidRDefault="006330AA" w:rsidP="00633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696B" w14:textId="77777777" w:rsidR="006330AA" w:rsidRPr="006330AA" w:rsidRDefault="006330AA" w:rsidP="006330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15C2B37" w14:textId="77777777" w:rsidR="00E37175" w:rsidRDefault="00E37175" w:rsidP="00E37175">
      <w:pPr>
        <w:pStyle w:val="Heading2"/>
        <w:spacing w:after="0"/>
        <w:rPr>
          <w:rFonts w:ascii="Cambria" w:hAnsi="Cambria" w:cstheme="minorBidi"/>
          <w:sz w:val="22"/>
          <w:szCs w:val="22"/>
        </w:rPr>
      </w:pPr>
    </w:p>
    <w:p w14:paraId="37E7344B" w14:textId="77777777" w:rsidR="006330AA" w:rsidRDefault="006330AA" w:rsidP="006330AA"/>
    <w:p w14:paraId="694B7F78" w14:textId="77777777" w:rsidR="006330AA" w:rsidRDefault="006330AA" w:rsidP="006330AA"/>
    <w:p w14:paraId="22F1F47D" w14:textId="77777777" w:rsidR="006117E6" w:rsidRDefault="006117E6" w:rsidP="006330AA"/>
    <w:p w14:paraId="7A7AB37F" w14:textId="77777777" w:rsidR="006117E6" w:rsidRPr="004978B0" w:rsidRDefault="006117E6" w:rsidP="006117E6">
      <w:pPr>
        <w:rPr>
          <w:rFonts w:ascii="Calibri" w:hAnsi="Calibri" w:cs="Calibri"/>
        </w:rPr>
      </w:pPr>
      <w:r w:rsidRPr="004978B0">
        <w:rPr>
          <w:rFonts w:ascii="Calibri" w:hAnsi="Calibri" w:cs="Calibri"/>
        </w:rPr>
        <w:lastRenderedPageBreak/>
        <w:t xml:space="preserve">Repartizare cheltuielilor necesare implementării </w:t>
      </w:r>
      <w:r w:rsidRPr="007849A3">
        <w:rPr>
          <w:rFonts w:ascii="Calibri" w:hAnsi="Calibri" w:cs="Calibri"/>
        </w:rPr>
        <w:t xml:space="preserve">proiectului s-a făcut în baza procentelor de contribuție a UAT partenere în </w:t>
      </w:r>
      <w:r w:rsidRPr="006F7C55">
        <w:rPr>
          <w:rFonts w:ascii="Calibri" w:hAnsi="Calibri" w:cs="Calibri"/>
        </w:rPr>
        <w:t>Asociației de dezvoltare intercomunitară De Transport Public Feroviar ”Tren Metropolitan Mureș”</w:t>
      </w:r>
      <w:r w:rsidRPr="007849A3">
        <w:rPr>
          <w:rFonts w:ascii="Calibri" w:hAnsi="Calibri" w:cs="Calibri"/>
        </w:rPr>
        <w:t>, procente stabilite conform ponderii populației afferent fiecărei UAT partener.</w:t>
      </w:r>
    </w:p>
    <w:tbl>
      <w:tblPr>
        <w:tblW w:w="7020" w:type="dxa"/>
        <w:tblLook w:val="04A0" w:firstRow="1" w:lastRow="0" w:firstColumn="1" w:lastColumn="0" w:noHBand="0" w:noVBand="1"/>
      </w:tblPr>
      <w:tblGrid>
        <w:gridCol w:w="5500"/>
        <w:gridCol w:w="1520"/>
      </w:tblGrid>
      <w:tr w:rsidR="004978B0" w:rsidRPr="004978B0" w14:paraId="50E8166B" w14:textId="77777777" w:rsidTr="004978B0">
        <w:trPr>
          <w:trHeight w:val="320"/>
        </w:trPr>
        <w:tc>
          <w:tcPr>
            <w:tcW w:w="5500" w:type="dxa"/>
            <w:shd w:val="clear" w:color="auto" w:fill="83CAEB" w:themeFill="accent1" w:themeFillTint="66"/>
            <w:noWrap/>
            <w:vAlign w:val="bottom"/>
            <w:hideMark/>
          </w:tcPr>
          <w:p w14:paraId="55170156" w14:textId="77777777" w:rsidR="004978B0" w:rsidRPr="004978B0" w:rsidRDefault="004978B0" w:rsidP="004978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UAT</w:t>
            </w:r>
          </w:p>
        </w:tc>
        <w:tc>
          <w:tcPr>
            <w:tcW w:w="1520" w:type="dxa"/>
            <w:shd w:val="clear" w:color="auto" w:fill="83CAEB" w:themeFill="accent1" w:themeFillTint="66"/>
            <w:noWrap/>
            <w:hideMark/>
          </w:tcPr>
          <w:p w14:paraId="6E9B2505" w14:textId="77777777" w:rsidR="004978B0" w:rsidRPr="004978B0" w:rsidRDefault="004978B0" w:rsidP="004978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Pondere</w:t>
            </w:r>
          </w:p>
        </w:tc>
      </w:tr>
      <w:tr w:rsidR="004978B0" w:rsidRPr="004978B0" w14:paraId="614DE0B7" w14:textId="77777777" w:rsidTr="004978B0">
        <w:trPr>
          <w:trHeight w:val="320"/>
        </w:trPr>
        <w:tc>
          <w:tcPr>
            <w:tcW w:w="5500" w:type="dxa"/>
            <w:noWrap/>
            <w:vAlign w:val="bottom"/>
            <w:hideMark/>
          </w:tcPr>
          <w:p w14:paraId="72B0EC65" w14:textId="77777777" w:rsidR="004978B0" w:rsidRPr="004978B0" w:rsidRDefault="004978B0" w:rsidP="00497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Municipiul Tîrgu Mureș</w:t>
            </w:r>
          </w:p>
        </w:tc>
        <w:tc>
          <w:tcPr>
            <w:tcW w:w="1520" w:type="dxa"/>
            <w:noWrap/>
            <w:vAlign w:val="bottom"/>
            <w:hideMark/>
          </w:tcPr>
          <w:p w14:paraId="0869E39E" w14:textId="77777777" w:rsidR="004978B0" w:rsidRPr="004978B0" w:rsidRDefault="004978B0" w:rsidP="00497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53.81%</w:t>
            </w:r>
          </w:p>
        </w:tc>
      </w:tr>
      <w:tr w:rsidR="004978B0" w:rsidRPr="004978B0" w14:paraId="00266AE8" w14:textId="77777777" w:rsidTr="004978B0">
        <w:trPr>
          <w:trHeight w:val="380"/>
        </w:trPr>
        <w:tc>
          <w:tcPr>
            <w:tcW w:w="5500" w:type="dxa"/>
            <w:noWrap/>
            <w:vAlign w:val="bottom"/>
            <w:hideMark/>
          </w:tcPr>
          <w:p w14:paraId="03B2AECA" w14:textId="77777777" w:rsidR="004978B0" w:rsidRPr="004978B0" w:rsidRDefault="004978B0" w:rsidP="00497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Municipiul Reghin</w:t>
            </w:r>
          </w:p>
        </w:tc>
        <w:tc>
          <w:tcPr>
            <w:tcW w:w="1520" w:type="dxa"/>
            <w:noWrap/>
            <w:vAlign w:val="bottom"/>
            <w:hideMark/>
          </w:tcPr>
          <w:p w14:paraId="78E83AD8" w14:textId="77777777" w:rsidR="004978B0" w:rsidRPr="004978B0" w:rsidRDefault="004978B0" w:rsidP="00497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13.79%</w:t>
            </w:r>
          </w:p>
        </w:tc>
      </w:tr>
      <w:tr w:rsidR="004978B0" w:rsidRPr="004978B0" w14:paraId="4EC3BDBB" w14:textId="77777777" w:rsidTr="004978B0">
        <w:trPr>
          <w:trHeight w:val="380"/>
        </w:trPr>
        <w:tc>
          <w:tcPr>
            <w:tcW w:w="5500" w:type="dxa"/>
            <w:noWrap/>
            <w:vAlign w:val="bottom"/>
            <w:hideMark/>
          </w:tcPr>
          <w:p w14:paraId="5CDFF21D" w14:textId="77777777" w:rsidR="004978B0" w:rsidRPr="004978B0" w:rsidRDefault="004978B0" w:rsidP="00497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Orașul Iernut</w:t>
            </w:r>
          </w:p>
        </w:tc>
        <w:tc>
          <w:tcPr>
            <w:tcW w:w="1520" w:type="dxa"/>
            <w:noWrap/>
            <w:vAlign w:val="bottom"/>
            <w:hideMark/>
          </w:tcPr>
          <w:p w14:paraId="16582658" w14:textId="77777777" w:rsidR="004978B0" w:rsidRPr="004978B0" w:rsidRDefault="004978B0" w:rsidP="00497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3.93%</w:t>
            </w:r>
          </w:p>
        </w:tc>
      </w:tr>
      <w:tr w:rsidR="004978B0" w:rsidRPr="004978B0" w14:paraId="787A2414" w14:textId="77777777" w:rsidTr="004978B0">
        <w:trPr>
          <w:trHeight w:val="380"/>
        </w:trPr>
        <w:tc>
          <w:tcPr>
            <w:tcW w:w="5500" w:type="dxa"/>
            <w:noWrap/>
            <w:vAlign w:val="bottom"/>
            <w:hideMark/>
          </w:tcPr>
          <w:p w14:paraId="46529EE0" w14:textId="77777777" w:rsidR="004978B0" w:rsidRPr="004978B0" w:rsidRDefault="004978B0" w:rsidP="00497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Orașul Luduș</w:t>
            </w:r>
          </w:p>
        </w:tc>
        <w:tc>
          <w:tcPr>
            <w:tcW w:w="1520" w:type="dxa"/>
            <w:noWrap/>
            <w:vAlign w:val="bottom"/>
            <w:hideMark/>
          </w:tcPr>
          <w:p w14:paraId="6AA5DF73" w14:textId="77777777" w:rsidR="004978B0" w:rsidRPr="004978B0" w:rsidRDefault="004978B0" w:rsidP="00497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6.84%</w:t>
            </w:r>
          </w:p>
        </w:tc>
      </w:tr>
      <w:tr w:rsidR="004978B0" w:rsidRPr="004978B0" w14:paraId="3EA3F595" w14:textId="77777777" w:rsidTr="004978B0">
        <w:trPr>
          <w:trHeight w:val="380"/>
        </w:trPr>
        <w:tc>
          <w:tcPr>
            <w:tcW w:w="5500" w:type="dxa"/>
            <w:noWrap/>
            <w:vAlign w:val="bottom"/>
            <w:hideMark/>
          </w:tcPr>
          <w:p w14:paraId="00C7034A" w14:textId="77777777" w:rsidR="004978B0" w:rsidRPr="004978B0" w:rsidRDefault="004978B0" w:rsidP="00497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Orașul Ungheni</w:t>
            </w:r>
          </w:p>
        </w:tc>
        <w:tc>
          <w:tcPr>
            <w:tcW w:w="1520" w:type="dxa"/>
            <w:noWrap/>
            <w:vAlign w:val="bottom"/>
            <w:hideMark/>
          </w:tcPr>
          <w:p w14:paraId="6DD5D046" w14:textId="77777777" w:rsidR="004978B0" w:rsidRPr="004978B0" w:rsidRDefault="004978B0" w:rsidP="00497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3.25%</w:t>
            </w:r>
          </w:p>
        </w:tc>
      </w:tr>
      <w:tr w:rsidR="004978B0" w:rsidRPr="004978B0" w14:paraId="423931D7" w14:textId="77777777" w:rsidTr="004978B0">
        <w:trPr>
          <w:trHeight w:val="320"/>
        </w:trPr>
        <w:tc>
          <w:tcPr>
            <w:tcW w:w="5500" w:type="dxa"/>
            <w:noWrap/>
            <w:vAlign w:val="bottom"/>
            <w:hideMark/>
          </w:tcPr>
          <w:p w14:paraId="33112694" w14:textId="77777777" w:rsidR="004978B0" w:rsidRPr="004978B0" w:rsidRDefault="004978B0" w:rsidP="00497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Bogata</w:t>
            </w:r>
          </w:p>
        </w:tc>
        <w:tc>
          <w:tcPr>
            <w:tcW w:w="1520" w:type="dxa"/>
            <w:noWrap/>
            <w:vAlign w:val="bottom"/>
            <w:hideMark/>
          </w:tcPr>
          <w:p w14:paraId="3401C040" w14:textId="77777777" w:rsidR="004978B0" w:rsidRPr="004978B0" w:rsidRDefault="004978B0" w:rsidP="00497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0.86%</w:t>
            </w:r>
          </w:p>
        </w:tc>
      </w:tr>
      <w:tr w:rsidR="004978B0" w:rsidRPr="004978B0" w14:paraId="7A954B13" w14:textId="77777777" w:rsidTr="004978B0">
        <w:trPr>
          <w:trHeight w:val="320"/>
        </w:trPr>
        <w:tc>
          <w:tcPr>
            <w:tcW w:w="5500" w:type="dxa"/>
            <w:noWrap/>
            <w:vAlign w:val="bottom"/>
            <w:hideMark/>
          </w:tcPr>
          <w:p w14:paraId="2739CFBC" w14:textId="77777777" w:rsidR="004978B0" w:rsidRPr="004978B0" w:rsidRDefault="004978B0" w:rsidP="00497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Cuci</w:t>
            </w:r>
          </w:p>
        </w:tc>
        <w:tc>
          <w:tcPr>
            <w:tcW w:w="1520" w:type="dxa"/>
            <w:noWrap/>
            <w:vAlign w:val="bottom"/>
            <w:hideMark/>
          </w:tcPr>
          <w:p w14:paraId="6FE335D6" w14:textId="77777777" w:rsidR="004978B0" w:rsidRPr="004978B0" w:rsidRDefault="004978B0" w:rsidP="00497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0.80%</w:t>
            </w:r>
          </w:p>
        </w:tc>
      </w:tr>
      <w:tr w:rsidR="004978B0" w:rsidRPr="004978B0" w14:paraId="3F10E4E8" w14:textId="77777777" w:rsidTr="004978B0">
        <w:trPr>
          <w:trHeight w:val="320"/>
        </w:trPr>
        <w:tc>
          <w:tcPr>
            <w:tcW w:w="5500" w:type="dxa"/>
            <w:noWrap/>
            <w:vAlign w:val="bottom"/>
            <w:hideMark/>
          </w:tcPr>
          <w:p w14:paraId="4C6E0D2A" w14:textId="77777777" w:rsidR="004978B0" w:rsidRPr="004978B0" w:rsidRDefault="004978B0" w:rsidP="00497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Ogra</w:t>
            </w:r>
          </w:p>
        </w:tc>
        <w:tc>
          <w:tcPr>
            <w:tcW w:w="1520" w:type="dxa"/>
            <w:noWrap/>
            <w:vAlign w:val="bottom"/>
            <w:hideMark/>
          </w:tcPr>
          <w:p w14:paraId="34FBE870" w14:textId="77777777" w:rsidR="004978B0" w:rsidRPr="004978B0" w:rsidRDefault="004978B0" w:rsidP="00497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1.13%</w:t>
            </w:r>
          </w:p>
        </w:tc>
      </w:tr>
      <w:tr w:rsidR="004978B0" w:rsidRPr="004978B0" w14:paraId="72A4C907" w14:textId="77777777" w:rsidTr="004978B0">
        <w:trPr>
          <w:trHeight w:val="320"/>
        </w:trPr>
        <w:tc>
          <w:tcPr>
            <w:tcW w:w="5500" w:type="dxa"/>
            <w:noWrap/>
            <w:vAlign w:val="bottom"/>
            <w:hideMark/>
          </w:tcPr>
          <w:p w14:paraId="062A786B" w14:textId="77777777" w:rsidR="004978B0" w:rsidRPr="004978B0" w:rsidRDefault="004978B0" w:rsidP="00497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Sânpaul</w:t>
            </w:r>
          </w:p>
        </w:tc>
        <w:tc>
          <w:tcPr>
            <w:tcW w:w="1520" w:type="dxa"/>
            <w:noWrap/>
            <w:vAlign w:val="bottom"/>
            <w:hideMark/>
          </w:tcPr>
          <w:p w14:paraId="265A5612" w14:textId="77777777" w:rsidR="004978B0" w:rsidRPr="004978B0" w:rsidRDefault="004978B0" w:rsidP="00497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2.00%</w:t>
            </w:r>
          </w:p>
        </w:tc>
      </w:tr>
      <w:tr w:rsidR="004978B0" w:rsidRPr="004978B0" w14:paraId="701653D8" w14:textId="77777777" w:rsidTr="004978B0">
        <w:trPr>
          <w:trHeight w:val="320"/>
        </w:trPr>
        <w:tc>
          <w:tcPr>
            <w:tcW w:w="5500" w:type="dxa"/>
            <w:noWrap/>
            <w:vAlign w:val="bottom"/>
            <w:hideMark/>
          </w:tcPr>
          <w:p w14:paraId="36C0FF3D" w14:textId="77777777" w:rsidR="004978B0" w:rsidRPr="004978B0" w:rsidRDefault="004978B0" w:rsidP="00497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Cristești</w:t>
            </w:r>
          </w:p>
        </w:tc>
        <w:tc>
          <w:tcPr>
            <w:tcW w:w="1520" w:type="dxa"/>
            <w:noWrap/>
            <w:vAlign w:val="bottom"/>
            <w:hideMark/>
          </w:tcPr>
          <w:p w14:paraId="250C9E01" w14:textId="77777777" w:rsidR="004978B0" w:rsidRPr="004978B0" w:rsidRDefault="004978B0" w:rsidP="00497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2.59%</w:t>
            </w:r>
          </w:p>
        </w:tc>
      </w:tr>
      <w:tr w:rsidR="004978B0" w:rsidRPr="004978B0" w14:paraId="0B4BF8D0" w14:textId="77777777" w:rsidTr="004978B0">
        <w:trPr>
          <w:trHeight w:val="320"/>
        </w:trPr>
        <w:tc>
          <w:tcPr>
            <w:tcW w:w="5500" w:type="dxa"/>
            <w:noWrap/>
            <w:vAlign w:val="bottom"/>
            <w:hideMark/>
          </w:tcPr>
          <w:p w14:paraId="239B6A40" w14:textId="77777777" w:rsidR="004978B0" w:rsidRPr="004978B0" w:rsidRDefault="004978B0" w:rsidP="00497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Sângeorgiu de Mureș</w:t>
            </w:r>
          </w:p>
        </w:tc>
        <w:tc>
          <w:tcPr>
            <w:tcW w:w="1520" w:type="dxa"/>
            <w:noWrap/>
            <w:vAlign w:val="bottom"/>
            <w:hideMark/>
          </w:tcPr>
          <w:p w14:paraId="1C47D891" w14:textId="77777777" w:rsidR="004978B0" w:rsidRPr="004978B0" w:rsidRDefault="004978B0" w:rsidP="00497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4.49%</w:t>
            </w:r>
          </w:p>
        </w:tc>
      </w:tr>
      <w:tr w:rsidR="004978B0" w:rsidRPr="004978B0" w14:paraId="15D634DB" w14:textId="77777777" w:rsidTr="004978B0">
        <w:trPr>
          <w:trHeight w:val="320"/>
        </w:trPr>
        <w:tc>
          <w:tcPr>
            <w:tcW w:w="5500" w:type="dxa"/>
            <w:noWrap/>
            <w:vAlign w:val="bottom"/>
            <w:hideMark/>
          </w:tcPr>
          <w:p w14:paraId="7C94F7A2" w14:textId="77777777" w:rsidR="004978B0" w:rsidRPr="004978B0" w:rsidRDefault="004978B0" w:rsidP="00497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Ernei</w:t>
            </w:r>
          </w:p>
        </w:tc>
        <w:tc>
          <w:tcPr>
            <w:tcW w:w="1520" w:type="dxa"/>
            <w:noWrap/>
            <w:vAlign w:val="bottom"/>
            <w:hideMark/>
          </w:tcPr>
          <w:p w14:paraId="79ED0B44" w14:textId="77777777" w:rsidR="004978B0" w:rsidRPr="004978B0" w:rsidRDefault="004978B0" w:rsidP="00497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2.71%</w:t>
            </w:r>
          </w:p>
        </w:tc>
      </w:tr>
      <w:tr w:rsidR="004978B0" w:rsidRPr="004978B0" w14:paraId="3CF48268" w14:textId="77777777" w:rsidTr="004978B0">
        <w:trPr>
          <w:trHeight w:val="320"/>
        </w:trPr>
        <w:tc>
          <w:tcPr>
            <w:tcW w:w="5500" w:type="dxa"/>
            <w:noWrap/>
            <w:vAlign w:val="bottom"/>
            <w:hideMark/>
          </w:tcPr>
          <w:p w14:paraId="55B6607E" w14:textId="77777777" w:rsidR="004978B0" w:rsidRPr="004978B0" w:rsidRDefault="004978B0" w:rsidP="00497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Gornești</w:t>
            </w:r>
          </w:p>
        </w:tc>
        <w:tc>
          <w:tcPr>
            <w:tcW w:w="1520" w:type="dxa"/>
            <w:noWrap/>
            <w:vAlign w:val="bottom"/>
            <w:hideMark/>
          </w:tcPr>
          <w:p w14:paraId="50A09EAF" w14:textId="77777777" w:rsidR="004978B0" w:rsidRPr="004978B0" w:rsidRDefault="004978B0" w:rsidP="00497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2.35%</w:t>
            </w:r>
          </w:p>
        </w:tc>
      </w:tr>
      <w:tr w:rsidR="004978B0" w:rsidRPr="004978B0" w14:paraId="1BF20301" w14:textId="77777777" w:rsidTr="004978B0">
        <w:trPr>
          <w:trHeight w:val="320"/>
        </w:trPr>
        <w:tc>
          <w:tcPr>
            <w:tcW w:w="5500" w:type="dxa"/>
            <w:noWrap/>
            <w:vAlign w:val="bottom"/>
            <w:hideMark/>
          </w:tcPr>
          <w:p w14:paraId="0B3B99AA" w14:textId="77777777" w:rsidR="004978B0" w:rsidRPr="004978B0" w:rsidRDefault="004978B0" w:rsidP="004978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Comuna Petelea</w:t>
            </w:r>
          </w:p>
        </w:tc>
        <w:tc>
          <w:tcPr>
            <w:tcW w:w="1520" w:type="dxa"/>
            <w:noWrap/>
            <w:vAlign w:val="bottom"/>
            <w:hideMark/>
          </w:tcPr>
          <w:p w14:paraId="0882C5FC" w14:textId="77777777" w:rsidR="004978B0" w:rsidRPr="004978B0" w:rsidRDefault="004978B0" w:rsidP="00497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1.43%</w:t>
            </w:r>
          </w:p>
        </w:tc>
      </w:tr>
      <w:tr w:rsidR="004978B0" w:rsidRPr="004978B0" w14:paraId="00251623" w14:textId="77777777" w:rsidTr="004978B0">
        <w:trPr>
          <w:trHeight w:val="320"/>
        </w:trPr>
        <w:tc>
          <w:tcPr>
            <w:tcW w:w="5500" w:type="dxa"/>
            <w:shd w:val="clear" w:color="auto" w:fill="83CAEB" w:themeFill="accent1" w:themeFillTint="66"/>
            <w:noWrap/>
            <w:vAlign w:val="bottom"/>
            <w:hideMark/>
          </w:tcPr>
          <w:p w14:paraId="2E6A0885" w14:textId="77777777" w:rsidR="004978B0" w:rsidRPr="004978B0" w:rsidRDefault="004978B0" w:rsidP="004978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pondere</w:t>
            </w:r>
          </w:p>
        </w:tc>
        <w:tc>
          <w:tcPr>
            <w:tcW w:w="1520" w:type="dxa"/>
            <w:shd w:val="clear" w:color="auto" w:fill="83CAEB" w:themeFill="accent1" w:themeFillTint="66"/>
            <w:noWrap/>
            <w:vAlign w:val="bottom"/>
            <w:hideMark/>
          </w:tcPr>
          <w:p w14:paraId="34D590E9" w14:textId="77777777" w:rsidR="004978B0" w:rsidRPr="004978B0" w:rsidRDefault="004978B0" w:rsidP="004978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78B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100.00%</w:t>
            </w:r>
          </w:p>
        </w:tc>
      </w:tr>
    </w:tbl>
    <w:p w14:paraId="0CA00109" w14:textId="77777777" w:rsidR="004978B0" w:rsidRPr="004978B0" w:rsidRDefault="004978B0" w:rsidP="006330AA">
      <w:pPr>
        <w:rPr>
          <w:rFonts w:ascii="Calibri" w:hAnsi="Calibri" w:cs="Calibri"/>
        </w:rPr>
      </w:pPr>
    </w:p>
    <w:p w14:paraId="47F29121" w14:textId="36F6C946" w:rsidR="00E37175" w:rsidRPr="00BB3420" w:rsidRDefault="00E37175" w:rsidP="00E37175">
      <w:pPr>
        <w:spacing w:after="0"/>
        <w:rPr>
          <w:rFonts w:ascii="Cambria" w:eastAsiaTheme="majorEastAsia" w:hAnsi="Cambria"/>
          <w:color w:val="0F4761" w:themeColor="accent1" w:themeShade="BF"/>
          <w:sz w:val="22"/>
          <w:szCs w:val="22"/>
        </w:rPr>
      </w:pPr>
    </w:p>
    <w:sectPr w:rsidR="00E37175" w:rsidRPr="00BB3420" w:rsidSect="006330AA">
      <w:footerReference w:type="even" r:id="rId7"/>
      <w:footerReference w:type="default" r:id="rId8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B3F4" w14:textId="77777777" w:rsidR="007161DA" w:rsidRDefault="007161DA" w:rsidP="001B0EA1">
      <w:pPr>
        <w:spacing w:after="0" w:line="240" w:lineRule="auto"/>
      </w:pPr>
      <w:r>
        <w:separator/>
      </w:r>
    </w:p>
  </w:endnote>
  <w:endnote w:type="continuationSeparator" w:id="0">
    <w:p w14:paraId="578EA797" w14:textId="77777777" w:rsidR="007161DA" w:rsidRDefault="007161DA" w:rsidP="001B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8600820"/>
      <w:docPartObj>
        <w:docPartGallery w:val="Page Numbers (Bottom of Page)"/>
        <w:docPartUnique/>
      </w:docPartObj>
    </w:sdtPr>
    <w:sdtContent>
      <w:p w14:paraId="5D9B32F6" w14:textId="402927DF" w:rsidR="001B0EA1" w:rsidRDefault="001B0EA1" w:rsidP="009333E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BBEB10D" w14:textId="77777777" w:rsidR="001B0EA1" w:rsidRDefault="001B0E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4008946"/>
      <w:docPartObj>
        <w:docPartGallery w:val="Page Numbers (Bottom of Page)"/>
        <w:docPartUnique/>
      </w:docPartObj>
    </w:sdtPr>
    <w:sdtContent>
      <w:p w14:paraId="224EB327" w14:textId="27CA9407" w:rsidR="001B0EA1" w:rsidRDefault="001B0EA1" w:rsidP="009333E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07FBAB" w14:textId="77777777" w:rsidR="001B0EA1" w:rsidRDefault="001B0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8995" w14:textId="77777777" w:rsidR="007161DA" w:rsidRDefault="007161DA" w:rsidP="001B0EA1">
      <w:pPr>
        <w:spacing w:after="0" w:line="240" w:lineRule="auto"/>
      </w:pPr>
      <w:r>
        <w:separator/>
      </w:r>
    </w:p>
  </w:footnote>
  <w:footnote w:type="continuationSeparator" w:id="0">
    <w:p w14:paraId="2775E9E8" w14:textId="77777777" w:rsidR="007161DA" w:rsidRDefault="007161DA" w:rsidP="001B0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43F"/>
    <w:multiLevelType w:val="hybridMultilevel"/>
    <w:tmpl w:val="2CC4CCA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63062"/>
    <w:multiLevelType w:val="multilevel"/>
    <w:tmpl w:val="A0EA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905FD"/>
    <w:multiLevelType w:val="multilevel"/>
    <w:tmpl w:val="DAD8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00CF8"/>
    <w:multiLevelType w:val="multilevel"/>
    <w:tmpl w:val="53902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6A73CF"/>
    <w:multiLevelType w:val="multilevel"/>
    <w:tmpl w:val="42A2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96E2F"/>
    <w:multiLevelType w:val="hybridMultilevel"/>
    <w:tmpl w:val="F2FE82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30D62"/>
    <w:multiLevelType w:val="multilevel"/>
    <w:tmpl w:val="410C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00A4F"/>
    <w:multiLevelType w:val="hybridMultilevel"/>
    <w:tmpl w:val="6C1611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A1BF6"/>
    <w:multiLevelType w:val="multilevel"/>
    <w:tmpl w:val="A2B45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BC0099"/>
    <w:multiLevelType w:val="multilevel"/>
    <w:tmpl w:val="3BB2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695FA5"/>
    <w:multiLevelType w:val="hybridMultilevel"/>
    <w:tmpl w:val="30F0B362"/>
    <w:lvl w:ilvl="0" w:tplc="53624C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EB4F06"/>
    <w:multiLevelType w:val="multilevel"/>
    <w:tmpl w:val="A40A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575FB0"/>
    <w:multiLevelType w:val="multilevel"/>
    <w:tmpl w:val="5BD4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0B716C"/>
    <w:multiLevelType w:val="multilevel"/>
    <w:tmpl w:val="0A02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437BD3"/>
    <w:multiLevelType w:val="hybridMultilevel"/>
    <w:tmpl w:val="52AC26D0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5" w15:restartNumberingAfterBreak="0">
    <w:nsid w:val="79AE4E66"/>
    <w:multiLevelType w:val="multilevel"/>
    <w:tmpl w:val="B7EE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430566">
    <w:abstractNumId w:val="1"/>
  </w:num>
  <w:num w:numId="2" w16cid:durableId="1746997167">
    <w:abstractNumId w:val="11"/>
  </w:num>
  <w:num w:numId="3" w16cid:durableId="1344937826">
    <w:abstractNumId w:val="12"/>
  </w:num>
  <w:num w:numId="4" w16cid:durableId="1594778794">
    <w:abstractNumId w:val="2"/>
  </w:num>
  <w:num w:numId="5" w16cid:durableId="1758332251">
    <w:abstractNumId w:val="8"/>
  </w:num>
  <w:num w:numId="6" w16cid:durableId="1130975660">
    <w:abstractNumId w:val="4"/>
  </w:num>
  <w:num w:numId="7" w16cid:durableId="681205957">
    <w:abstractNumId w:val="15"/>
  </w:num>
  <w:num w:numId="8" w16cid:durableId="658047041">
    <w:abstractNumId w:val="6"/>
  </w:num>
  <w:num w:numId="9" w16cid:durableId="1971863094">
    <w:abstractNumId w:val="9"/>
  </w:num>
  <w:num w:numId="10" w16cid:durableId="358744592">
    <w:abstractNumId w:val="3"/>
  </w:num>
  <w:num w:numId="11" w16cid:durableId="744231888">
    <w:abstractNumId w:val="13"/>
  </w:num>
  <w:num w:numId="12" w16cid:durableId="1732576849">
    <w:abstractNumId w:val="14"/>
  </w:num>
  <w:num w:numId="13" w16cid:durableId="1132361564">
    <w:abstractNumId w:val="10"/>
  </w:num>
  <w:num w:numId="14" w16cid:durableId="2013944864">
    <w:abstractNumId w:val="0"/>
  </w:num>
  <w:num w:numId="15" w16cid:durableId="1484272304">
    <w:abstractNumId w:val="7"/>
  </w:num>
  <w:num w:numId="16" w16cid:durableId="525607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BD"/>
    <w:rsid w:val="0000580B"/>
    <w:rsid w:val="00006040"/>
    <w:rsid w:val="000B59BD"/>
    <w:rsid w:val="000D6832"/>
    <w:rsid w:val="000E4E52"/>
    <w:rsid w:val="00144930"/>
    <w:rsid w:val="0018141A"/>
    <w:rsid w:val="001B0EA1"/>
    <w:rsid w:val="001C01EF"/>
    <w:rsid w:val="001C651C"/>
    <w:rsid w:val="001D7AE4"/>
    <w:rsid w:val="001F18D3"/>
    <w:rsid w:val="00231046"/>
    <w:rsid w:val="002B381B"/>
    <w:rsid w:val="002B618F"/>
    <w:rsid w:val="002F2BB4"/>
    <w:rsid w:val="00306302"/>
    <w:rsid w:val="00333669"/>
    <w:rsid w:val="0034215D"/>
    <w:rsid w:val="00383772"/>
    <w:rsid w:val="00395A38"/>
    <w:rsid w:val="00416EDF"/>
    <w:rsid w:val="004978B0"/>
    <w:rsid w:val="004B462F"/>
    <w:rsid w:val="004E5EDA"/>
    <w:rsid w:val="004E7F2B"/>
    <w:rsid w:val="00512242"/>
    <w:rsid w:val="00546B0B"/>
    <w:rsid w:val="00546C1E"/>
    <w:rsid w:val="00577056"/>
    <w:rsid w:val="005B4CDF"/>
    <w:rsid w:val="005D5DC2"/>
    <w:rsid w:val="00601175"/>
    <w:rsid w:val="006117E6"/>
    <w:rsid w:val="006330AA"/>
    <w:rsid w:val="00663A4F"/>
    <w:rsid w:val="00687D45"/>
    <w:rsid w:val="006E7BAD"/>
    <w:rsid w:val="007161DA"/>
    <w:rsid w:val="00753F2A"/>
    <w:rsid w:val="00755A08"/>
    <w:rsid w:val="007A1A6D"/>
    <w:rsid w:val="007D63AB"/>
    <w:rsid w:val="00812814"/>
    <w:rsid w:val="008A3D1D"/>
    <w:rsid w:val="00946D83"/>
    <w:rsid w:val="0097759C"/>
    <w:rsid w:val="00980E43"/>
    <w:rsid w:val="009D70A7"/>
    <w:rsid w:val="009F7B30"/>
    <w:rsid w:val="00A50CC2"/>
    <w:rsid w:val="00A8358E"/>
    <w:rsid w:val="00AA2D25"/>
    <w:rsid w:val="00AF1EAD"/>
    <w:rsid w:val="00B32190"/>
    <w:rsid w:val="00B915AD"/>
    <w:rsid w:val="00BB3420"/>
    <w:rsid w:val="00BC6EF6"/>
    <w:rsid w:val="00BF4D54"/>
    <w:rsid w:val="00C50D0C"/>
    <w:rsid w:val="00CE5647"/>
    <w:rsid w:val="00D335A3"/>
    <w:rsid w:val="00D42666"/>
    <w:rsid w:val="00DB1DC6"/>
    <w:rsid w:val="00DD13D1"/>
    <w:rsid w:val="00E00810"/>
    <w:rsid w:val="00E37175"/>
    <w:rsid w:val="00E40B42"/>
    <w:rsid w:val="00EA444C"/>
    <w:rsid w:val="00EA4D3A"/>
    <w:rsid w:val="00EA7F38"/>
    <w:rsid w:val="00F03BBD"/>
    <w:rsid w:val="00F36672"/>
    <w:rsid w:val="00F730A6"/>
    <w:rsid w:val="00FB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EEDF3"/>
  <w15:chartTrackingRefBased/>
  <w15:docId w15:val="{C590B264-8A4E-624B-8E4D-8D243226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5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5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9BD"/>
    <w:rPr>
      <w:b/>
      <w:bCs/>
      <w:smallCaps/>
      <w:color w:val="0F4761" w:themeColor="accent1" w:themeShade="BF"/>
      <w:spacing w:val="5"/>
    </w:rPr>
  </w:style>
  <w:style w:type="table" w:styleId="PlainTable4">
    <w:name w:val="Plain Table 4"/>
    <w:basedOn w:val="TableNormal"/>
    <w:uiPriority w:val="44"/>
    <w:rsid w:val="000B59BD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styleId="GridTable4-Accent1">
    <w:name w:val="Grid Table 4 Accent 1"/>
    <w:basedOn w:val="TableNormal"/>
    <w:uiPriority w:val="49"/>
    <w:rsid w:val="001F18D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6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3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8358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B0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EA1"/>
  </w:style>
  <w:style w:type="character" w:styleId="PageNumber">
    <w:name w:val="page number"/>
    <w:basedOn w:val="DefaultParagraphFont"/>
    <w:uiPriority w:val="99"/>
    <w:semiHidden/>
    <w:unhideWhenUsed/>
    <w:rsid w:val="001B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4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 Tanko</dc:creator>
  <cp:keywords/>
  <dc:description/>
  <cp:lastModifiedBy>VASS Szilard</cp:lastModifiedBy>
  <cp:revision>4</cp:revision>
  <dcterms:created xsi:type="dcterms:W3CDTF">2026-06-05T00:24:00Z</dcterms:created>
  <dcterms:modified xsi:type="dcterms:W3CDTF">2026-06-05T01:22:00Z</dcterms:modified>
</cp:coreProperties>
</file>