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69EEB" w14:textId="77777777" w:rsidR="00577327" w:rsidRPr="000A45BC" w:rsidRDefault="00577327" w:rsidP="00577327">
      <w:pPr>
        <w:pStyle w:val="Heading1"/>
        <w:spacing w:before="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25391923"/>
      <w:bookmarkStart w:id="1" w:name="_Toc125391431"/>
      <w:r w:rsidRPr="000A45B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ANEXA </w:t>
      </w:r>
      <w:bookmarkEnd w:id="0"/>
      <w:bookmarkEnd w:id="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194BA9B7" w14:textId="77777777" w:rsidR="00577327" w:rsidRPr="00511AB1" w:rsidRDefault="00577327" w:rsidP="00577327">
      <w:pPr>
        <w:autoSpaceDE w:val="0"/>
        <w:autoSpaceDN w:val="0"/>
        <w:adjustRightInd w:val="0"/>
        <w:jc w:val="both"/>
        <w:rPr>
          <w:lang w:val="ro-RO"/>
        </w:rPr>
      </w:pPr>
    </w:p>
    <w:p w14:paraId="06BA8D34" w14:textId="77777777" w:rsidR="00577327" w:rsidRDefault="00577327" w:rsidP="00577327">
      <w:pPr>
        <w:pStyle w:val="Heading4"/>
        <w:jc w:val="center"/>
        <w:rPr>
          <w:rFonts w:ascii="Times New Roman" w:hAnsi="Times New Roman" w:cs="Times New Roman"/>
          <w:i w:val="0"/>
          <w:iCs w:val="0"/>
          <w:color w:val="auto"/>
          <w:szCs w:val="24"/>
        </w:rPr>
      </w:pPr>
      <w:r w:rsidRPr="008D35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CATEGORII DE CHELTUIELI ELIGIBILE</w:t>
      </w:r>
    </w:p>
    <w:p w14:paraId="023140DA" w14:textId="4375FC9E" w:rsidR="00577327" w:rsidRPr="00577327" w:rsidRDefault="00577327" w:rsidP="00577327">
      <w:pPr>
        <w:jc w:val="center"/>
      </w:pPr>
      <w:r>
        <w:t>pentru proiecte de tineret</w:t>
      </w:r>
    </w:p>
    <w:p w14:paraId="3DC7AE73" w14:textId="77777777" w:rsidR="00577327" w:rsidRPr="00511AB1" w:rsidRDefault="00577327" w:rsidP="00577327">
      <w:pPr>
        <w:autoSpaceDE w:val="0"/>
        <w:autoSpaceDN w:val="0"/>
        <w:adjustRightInd w:val="0"/>
        <w:jc w:val="center"/>
        <w:rPr>
          <w:lang w:val="ro-RO"/>
        </w:rPr>
      </w:pPr>
    </w:p>
    <w:p w14:paraId="307C5236" w14:textId="77777777" w:rsidR="00577327" w:rsidRPr="00511AB1" w:rsidRDefault="00577327" w:rsidP="00577327">
      <w:pPr>
        <w:autoSpaceDE w:val="0"/>
        <w:autoSpaceDN w:val="0"/>
        <w:adjustRightInd w:val="0"/>
        <w:jc w:val="center"/>
        <w:rPr>
          <w:lang w:val="ro-RO"/>
        </w:rPr>
      </w:pPr>
    </w:p>
    <w:p w14:paraId="2C6AB2B1" w14:textId="738C1E58" w:rsidR="00577327" w:rsidRPr="00577327" w:rsidRDefault="00577327" w:rsidP="00577327">
      <w:pPr>
        <w:autoSpaceDE w:val="0"/>
        <w:autoSpaceDN w:val="0"/>
        <w:adjustRightInd w:val="0"/>
        <w:rPr>
          <w:rFonts w:eastAsia="Calibri"/>
          <w:szCs w:val="24"/>
          <w:lang w:val="ro-RO"/>
        </w:rPr>
      </w:pPr>
      <w:r>
        <w:rPr>
          <w:spacing w:val="-10"/>
          <w:szCs w:val="24"/>
          <w:lang w:val="ro-RO"/>
        </w:rPr>
        <w:t xml:space="preserve">1. </w:t>
      </w:r>
      <w:r w:rsidRPr="00577327">
        <w:rPr>
          <w:spacing w:val="-10"/>
          <w:szCs w:val="24"/>
          <w:lang w:val="ro-RO"/>
        </w:rPr>
        <w:t>T</w:t>
      </w:r>
      <w:r w:rsidRPr="00577327">
        <w:rPr>
          <w:spacing w:val="-9"/>
          <w:szCs w:val="24"/>
          <w:lang w:val="ro-RO"/>
        </w:rPr>
        <w:t>i</w:t>
      </w:r>
      <w:r w:rsidRPr="00577327">
        <w:rPr>
          <w:spacing w:val="-10"/>
          <w:szCs w:val="24"/>
          <w:lang w:val="ro-RO"/>
        </w:rPr>
        <w:t>pur</w:t>
      </w:r>
      <w:r w:rsidRPr="00577327">
        <w:rPr>
          <w:spacing w:val="-9"/>
          <w:szCs w:val="24"/>
          <w:lang w:val="ro-RO"/>
        </w:rPr>
        <w:t>il</w:t>
      </w:r>
      <w:r w:rsidRPr="00577327">
        <w:rPr>
          <w:szCs w:val="24"/>
          <w:lang w:val="ro-RO"/>
        </w:rPr>
        <w:t>e</w:t>
      </w:r>
      <w:r w:rsidRPr="00577327">
        <w:rPr>
          <w:spacing w:val="8"/>
          <w:szCs w:val="24"/>
          <w:lang w:val="ro-RO"/>
        </w:rPr>
        <w:t xml:space="preserve"> </w:t>
      </w:r>
      <w:r w:rsidRPr="00577327">
        <w:rPr>
          <w:spacing w:val="-10"/>
          <w:szCs w:val="24"/>
          <w:lang w:val="ro-RO"/>
        </w:rPr>
        <w:t>d</w:t>
      </w:r>
      <w:r w:rsidRPr="00577327">
        <w:rPr>
          <w:szCs w:val="24"/>
          <w:lang w:val="ro-RO"/>
        </w:rPr>
        <w:t>e</w:t>
      </w:r>
      <w:r w:rsidRPr="00577327">
        <w:rPr>
          <w:spacing w:val="8"/>
          <w:szCs w:val="24"/>
          <w:lang w:val="ro-RO"/>
        </w:rPr>
        <w:t xml:space="preserve"> </w:t>
      </w:r>
      <w:r w:rsidRPr="00577327">
        <w:rPr>
          <w:spacing w:val="-11"/>
          <w:szCs w:val="24"/>
          <w:lang w:val="ro-RO"/>
        </w:rPr>
        <w:t>c</w:t>
      </w:r>
      <w:r w:rsidRPr="00577327">
        <w:rPr>
          <w:spacing w:val="-10"/>
          <w:szCs w:val="24"/>
          <w:lang w:val="ro-RO"/>
        </w:rPr>
        <w:t>h</w:t>
      </w:r>
      <w:r w:rsidRPr="00577327">
        <w:rPr>
          <w:spacing w:val="-11"/>
          <w:szCs w:val="24"/>
          <w:lang w:val="ro-RO"/>
        </w:rPr>
        <w:t>e</w:t>
      </w:r>
      <w:r w:rsidRPr="00577327">
        <w:rPr>
          <w:spacing w:val="-9"/>
          <w:szCs w:val="24"/>
          <w:lang w:val="ro-RO"/>
        </w:rPr>
        <w:t>lt</w:t>
      </w:r>
      <w:r w:rsidRPr="00577327">
        <w:rPr>
          <w:spacing w:val="-10"/>
          <w:szCs w:val="24"/>
          <w:lang w:val="ro-RO"/>
        </w:rPr>
        <w:t>u</w:t>
      </w:r>
      <w:r w:rsidRPr="00577327">
        <w:rPr>
          <w:spacing w:val="-9"/>
          <w:szCs w:val="24"/>
          <w:lang w:val="ro-RO"/>
        </w:rPr>
        <w:t>i</w:t>
      </w:r>
      <w:r w:rsidRPr="00577327">
        <w:rPr>
          <w:spacing w:val="-11"/>
          <w:szCs w:val="24"/>
          <w:lang w:val="ro-RO"/>
        </w:rPr>
        <w:t>e</w:t>
      </w:r>
      <w:r w:rsidRPr="00577327">
        <w:rPr>
          <w:spacing w:val="-12"/>
          <w:szCs w:val="24"/>
          <w:lang w:val="ro-RO"/>
        </w:rPr>
        <w:t>l</w:t>
      </w:r>
      <w:r w:rsidRPr="00577327">
        <w:rPr>
          <w:szCs w:val="24"/>
          <w:lang w:val="ro-RO"/>
        </w:rPr>
        <w:t>i</w:t>
      </w:r>
      <w:r w:rsidRPr="00577327">
        <w:rPr>
          <w:spacing w:val="10"/>
          <w:szCs w:val="24"/>
          <w:lang w:val="ro-RO"/>
        </w:rPr>
        <w:t xml:space="preserve"> </w:t>
      </w:r>
      <w:r w:rsidRPr="00577327">
        <w:rPr>
          <w:spacing w:val="-11"/>
          <w:szCs w:val="24"/>
          <w:lang w:val="ro-RO"/>
        </w:rPr>
        <w:t>ca</w:t>
      </w:r>
      <w:r w:rsidRPr="00577327">
        <w:rPr>
          <w:spacing w:val="-10"/>
          <w:szCs w:val="24"/>
          <w:lang w:val="ro-RO"/>
        </w:rPr>
        <w:t>r</w:t>
      </w:r>
      <w:r w:rsidRPr="00577327">
        <w:rPr>
          <w:szCs w:val="24"/>
          <w:lang w:val="ro-RO"/>
        </w:rPr>
        <w:t>e</w:t>
      </w:r>
      <w:r w:rsidRPr="00577327">
        <w:rPr>
          <w:spacing w:val="11"/>
          <w:szCs w:val="24"/>
          <w:lang w:val="ro-RO"/>
        </w:rPr>
        <w:t xml:space="preserve"> </w:t>
      </w:r>
      <w:r w:rsidRPr="00577327">
        <w:rPr>
          <w:spacing w:val="-10"/>
          <w:szCs w:val="24"/>
          <w:lang w:val="ro-RO"/>
        </w:rPr>
        <w:t>po</w:t>
      </w:r>
      <w:r w:rsidRPr="00577327">
        <w:rPr>
          <w:szCs w:val="24"/>
          <w:lang w:val="ro-RO"/>
        </w:rPr>
        <w:t>t</w:t>
      </w:r>
      <w:r w:rsidRPr="00577327">
        <w:rPr>
          <w:spacing w:val="10"/>
          <w:szCs w:val="24"/>
          <w:lang w:val="ro-RO"/>
        </w:rPr>
        <w:t xml:space="preserve"> </w:t>
      </w:r>
      <w:r w:rsidRPr="00577327">
        <w:rPr>
          <w:spacing w:val="-10"/>
          <w:szCs w:val="24"/>
          <w:lang w:val="ro-RO"/>
        </w:rPr>
        <w:t>f</w:t>
      </w:r>
      <w:r w:rsidRPr="00577327">
        <w:rPr>
          <w:szCs w:val="24"/>
          <w:lang w:val="ro-RO"/>
        </w:rPr>
        <w:t>i</w:t>
      </w:r>
      <w:r w:rsidRPr="00577327">
        <w:rPr>
          <w:spacing w:val="10"/>
          <w:szCs w:val="24"/>
          <w:lang w:val="ro-RO"/>
        </w:rPr>
        <w:t xml:space="preserve"> </w:t>
      </w:r>
      <w:r w:rsidRPr="00577327">
        <w:rPr>
          <w:spacing w:val="-9"/>
          <w:szCs w:val="24"/>
          <w:lang w:val="ro-RO"/>
        </w:rPr>
        <w:t>l</w:t>
      </w:r>
      <w:r w:rsidRPr="00577327">
        <w:rPr>
          <w:spacing w:val="-10"/>
          <w:szCs w:val="24"/>
          <w:lang w:val="ro-RO"/>
        </w:rPr>
        <w:t>u</w:t>
      </w:r>
      <w:r w:rsidRPr="00577327">
        <w:rPr>
          <w:spacing w:val="-11"/>
          <w:szCs w:val="24"/>
          <w:lang w:val="ro-RO"/>
        </w:rPr>
        <w:t>a</w:t>
      </w:r>
      <w:r w:rsidRPr="00577327">
        <w:rPr>
          <w:spacing w:val="-9"/>
          <w:szCs w:val="24"/>
          <w:lang w:val="ro-RO"/>
        </w:rPr>
        <w:t>t</w:t>
      </w:r>
      <w:r w:rsidRPr="00577327">
        <w:rPr>
          <w:szCs w:val="24"/>
          <w:lang w:val="ro-RO"/>
        </w:rPr>
        <w:t>e</w:t>
      </w:r>
      <w:r w:rsidRPr="00577327">
        <w:rPr>
          <w:spacing w:val="8"/>
          <w:szCs w:val="24"/>
          <w:lang w:val="ro-RO"/>
        </w:rPr>
        <w:t xml:space="preserve"> </w:t>
      </w:r>
      <w:r w:rsidRPr="00577327">
        <w:rPr>
          <w:spacing w:val="-9"/>
          <w:szCs w:val="24"/>
          <w:lang w:val="ro-RO"/>
        </w:rPr>
        <w:t>î</w:t>
      </w:r>
      <w:r w:rsidRPr="00577327">
        <w:rPr>
          <w:szCs w:val="24"/>
          <w:lang w:val="ro-RO"/>
        </w:rPr>
        <w:t>n</w:t>
      </w:r>
      <w:r w:rsidRPr="00577327">
        <w:rPr>
          <w:spacing w:val="9"/>
          <w:szCs w:val="24"/>
          <w:lang w:val="ro-RO"/>
        </w:rPr>
        <w:t xml:space="preserve"> </w:t>
      </w:r>
      <w:r w:rsidRPr="00577327">
        <w:rPr>
          <w:spacing w:val="-11"/>
          <w:szCs w:val="24"/>
          <w:lang w:val="ro-RO"/>
        </w:rPr>
        <w:t>c</w:t>
      </w:r>
      <w:r w:rsidRPr="00577327">
        <w:rPr>
          <w:spacing w:val="-10"/>
          <w:szCs w:val="24"/>
          <w:lang w:val="ro-RO"/>
        </w:rPr>
        <w:t>on</w:t>
      </w:r>
      <w:r w:rsidRPr="00577327">
        <w:rPr>
          <w:spacing w:val="-9"/>
          <w:szCs w:val="24"/>
          <w:lang w:val="ro-RO"/>
        </w:rPr>
        <w:t>si</w:t>
      </w:r>
      <w:r w:rsidRPr="00577327">
        <w:rPr>
          <w:spacing w:val="-10"/>
          <w:szCs w:val="24"/>
          <w:lang w:val="ro-RO"/>
        </w:rPr>
        <w:t>d</w:t>
      </w:r>
      <w:r w:rsidRPr="00577327">
        <w:rPr>
          <w:spacing w:val="-11"/>
          <w:szCs w:val="24"/>
          <w:lang w:val="ro-RO"/>
        </w:rPr>
        <w:t>e</w:t>
      </w:r>
      <w:r w:rsidRPr="00577327">
        <w:rPr>
          <w:spacing w:val="-10"/>
          <w:szCs w:val="24"/>
          <w:lang w:val="ro-RO"/>
        </w:rPr>
        <w:t>r</w:t>
      </w:r>
      <w:r w:rsidRPr="00577327">
        <w:rPr>
          <w:spacing w:val="-11"/>
          <w:szCs w:val="24"/>
          <w:lang w:val="ro-RO"/>
        </w:rPr>
        <w:t>a</w:t>
      </w:r>
      <w:r w:rsidRPr="00577327">
        <w:rPr>
          <w:spacing w:val="-10"/>
          <w:szCs w:val="24"/>
          <w:lang w:val="ro-RO"/>
        </w:rPr>
        <w:t>r</w:t>
      </w:r>
      <w:r w:rsidRPr="00577327">
        <w:rPr>
          <w:szCs w:val="24"/>
          <w:lang w:val="ro-RO"/>
        </w:rPr>
        <w:t>e</w:t>
      </w:r>
      <w:r w:rsidRPr="00577327">
        <w:rPr>
          <w:spacing w:val="8"/>
          <w:szCs w:val="24"/>
          <w:lang w:val="ro-RO"/>
        </w:rPr>
        <w:t>:</w:t>
      </w:r>
    </w:p>
    <w:p w14:paraId="4123B788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- să fie necesare pentru derularea proiectului și să fie în concordanță cu principiile unui</w:t>
      </w:r>
    </w:p>
    <w:p w14:paraId="1244A52A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management financiar sănătos, respectiv cu un raport cost-eficiență bun;</w:t>
      </w:r>
    </w:p>
    <w:p w14:paraId="6E80FE0B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 xml:space="preserve">- să fie efectuate după semnarea contractului și în timpul execuției proiectului; </w:t>
      </w:r>
    </w:p>
    <w:p w14:paraId="659ED844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- să fie  înregistrate în evidențele contabile ale beneficiarilor sau ale partenerilor</w:t>
      </w:r>
    </w:p>
    <w:p w14:paraId="19DB94AD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beneficiarilor, să fie identificabile, verificabile şi susținute cu acte care poartă mențiunea ,,conform cu originalul,,.</w:t>
      </w:r>
    </w:p>
    <w:p w14:paraId="17E380E0" w14:textId="77777777" w:rsidR="00577327" w:rsidRPr="008E461F" w:rsidRDefault="00577327" w:rsidP="00577327">
      <w:pPr>
        <w:autoSpaceDE w:val="0"/>
        <w:autoSpaceDN w:val="0"/>
        <w:adjustRightInd w:val="0"/>
        <w:rPr>
          <w:rFonts w:eastAsia="Calibri"/>
          <w:szCs w:val="24"/>
          <w:lang w:val="ro-RO"/>
        </w:rPr>
      </w:pPr>
    </w:p>
    <w:p w14:paraId="0DD3C48E" w14:textId="069E3461" w:rsidR="00577327" w:rsidRPr="008E461F" w:rsidRDefault="00577327" w:rsidP="00577327">
      <w:pPr>
        <w:autoSpaceDE w:val="0"/>
        <w:autoSpaceDN w:val="0"/>
        <w:adjustRightInd w:val="0"/>
        <w:rPr>
          <w:rFonts w:eastAsia="Calibri"/>
          <w:b/>
          <w:bCs/>
          <w:szCs w:val="24"/>
          <w:lang w:val="ro-RO"/>
        </w:rPr>
      </w:pPr>
      <w:r>
        <w:rPr>
          <w:rFonts w:eastAsia="Calibri"/>
          <w:szCs w:val="24"/>
          <w:lang w:val="ro-RO"/>
        </w:rPr>
        <w:t xml:space="preserve">2. </w:t>
      </w:r>
      <w:r w:rsidRPr="008E461F">
        <w:rPr>
          <w:rFonts w:eastAsia="Calibri"/>
          <w:szCs w:val="24"/>
          <w:lang w:val="ro-RO"/>
        </w:rPr>
        <w:t xml:space="preserve">Următoarele costuri sunt </w:t>
      </w:r>
      <w:r w:rsidRPr="008E461F">
        <w:rPr>
          <w:rFonts w:eastAsia="Calibri"/>
          <w:b/>
          <w:bCs/>
          <w:szCs w:val="24"/>
          <w:lang w:val="ro-RO"/>
        </w:rPr>
        <w:t>eligibile:</w:t>
      </w:r>
    </w:p>
    <w:p w14:paraId="10283163" w14:textId="77777777" w:rsidR="00577327" w:rsidRPr="008E461F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 xml:space="preserve">- </w:t>
      </w:r>
      <w:bookmarkStart w:id="2" w:name="_Hlk88045392"/>
      <w:r w:rsidRPr="008E461F">
        <w:rPr>
          <w:rFonts w:eastAsia="Calibri"/>
          <w:szCs w:val="24"/>
          <w:lang w:val="ro-RO"/>
        </w:rPr>
        <w:t xml:space="preserve">costuri privind cazarea participanților/invitaților (conform HG.714/2018 cu modificările și completările ulterioare) – </w:t>
      </w:r>
      <w:r w:rsidRPr="007E2586">
        <w:rPr>
          <w:rFonts w:eastAsia="Calibri"/>
          <w:szCs w:val="24"/>
          <w:u w:val="single"/>
          <w:lang w:val="ro-RO"/>
        </w:rPr>
        <w:t xml:space="preserve">suma care depășește prevederile HG </w:t>
      </w:r>
      <w:r w:rsidRPr="007E2586">
        <w:rPr>
          <w:szCs w:val="24"/>
          <w:u w:val="single"/>
        </w:rPr>
        <w:t>se va deconta din contribuție proprie</w:t>
      </w:r>
      <w:r>
        <w:rPr>
          <w:szCs w:val="24"/>
        </w:rPr>
        <w:t>.</w:t>
      </w:r>
    </w:p>
    <w:p w14:paraId="70FB6679" w14:textId="77777777" w:rsidR="00577327" w:rsidRPr="00EC1E8F" w:rsidRDefault="00577327" w:rsidP="00577327">
      <w:pPr>
        <w:autoSpaceDE w:val="0"/>
        <w:autoSpaceDN w:val="0"/>
        <w:adjustRightInd w:val="0"/>
        <w:ind w:left="851"/>
        <w:jc w:val="both"/>
        <w:rPr>
          <w:b/>
          <w:bCs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-  masa  participanților/invitaților</w:t>
      </w:r>
      <w:r>
        <w:rPr>
          <w:rFonts w:eastAsia="Calibri"/>
          <w:szCs w:val="24"/>
          <w:lang w:val="ro-RO"/>
        </w:rPr>
        <w:t>,</w:t>
      </w:r>
      <w:r w:rsidRPr="008E461F">
        <w:rPr>
          <w:rFonts w:eastAsia="Calibri"/>
          <w:szCs w:val="24"/>
          <w:lang w:val="ro-RO"/>
        </w:rPr>
        <w:t xml:space="preserve"> maxim 60 lei/zi/pers.</w:t>
      </w:r>
      <w:r>
        <w:rPr>
          <w:rFonts w:eastAsia="Calibri"/>
          <w:szCs w:val="24"/>
          <w:lang w:val="ro-RO"/>
        </w:rPr>
        <w:t xml:space="preserve"> – s</w:t>
      </w:r>
      <w:r w:rsidRPr="007E2586">
        <w:rPr>
          <w:rFonts w:eastAsia="Calibri"/>
          <w:szCs w:val="24"/>
          <w:u w:val="single"/>
          <w:lang w:val="ro-RO"/>
        </w:rPr>
        <w:t>uma care depășește această valoare se decontează din contribuție proprie</w:t>
      </w:r>
      <w:r w:rsidRPr="008E461F">
        <w:rPr>
          <w:rFonts w:eastAsia="Calibri"/>
          <w:szCs w:val="24"/>
          <w:lang w:val="ro-RO"/>
        </w:rPr>
        <w:t xml:space="preserve">. </w:t>
      </w:r>
      <w:r w:rsidRPr="007E2586">
        <w:rPr>
          <w:szCs w:val="24"/>
          <w:lang w:val="ro-RO"/>
        </w:rPr>
        <w:t>Cheltuielile cu  masa pot fi finanțate, în limita unui procent de 20% din totalul finanțării nerambursabile acordate (implicit și din suma solicitată).</w:t>
      </w:r>
    </w:p>
    <w:p w14:paraId="7797230B" w14:textId="77777777" w:rsidR="00577327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bookmarkStart w:id="3" w:name="_Hlk88051843"/>
      <w:bookmarkEnd w:id="2"/>
      <w:r w:rsidRPr="008E461F">
        <w:rPr>
          <w:rFonts w:eastAsia="Calibri"/>
          <w:szCs w:val="24"/>
          <w:lang w:val="ro-RO"/>
        </w:rPr>
        <w:t>- costuri privind transportul participanților/invitaților (conform HG 714/2018).</w:t>
      </w:r>
    </w:p>
    <w:p w14:paraId="7C285D32" w14:textId="77777777" w:rsidR="00577327" w:rsidRPr="00E122E8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r>
        <w:rPr>
          <w:rFonts w:eastAsia="Calibri"/>
          <w:szCs w:val="24"/>
          <w:lang w:val="ro-RO"/>
        </w:rPr>
        <w:t xml:space="preserve">- </w:t>
      </w:r>
      <w:r w:rsidRPr="00E122E8">
        <w:t>Cheltuieli pentru trataţii (cafea, apă minerală etc.)</w:t>
      </w:r>
      <w:r w:rsidRPr="00E122E8">
        <w:rPr>
          <w:rFonts w:eastAsia="Calibri"/>
          <w:szCs w:val="24"/>
          <w:lang w:val="ro-RO"/>
        </w:rPr>
        <w:t xml:space="preserve"> </w:t>
      </w:r>
      <w:r>
        <w:rPr>
          <w:rFonts w:eastAsia="Calibri"/>
          <w:szCs w:val="24"/>
          <w:lang w:val="ro-RO"/>
        </w:rPr>
        <w:t>în limita a 6,5 lei/zi/participant</w:t>
      </w:r>
    </w:p>
    <w:bookmarkEnd w:id="3"/>
    <w:p w14:paraId="338C3F46" w14:textId="77777777" w:rsidR="00577327" w:rsidRPr="008E461F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r w:rsidRPr="00511AB1">
        <w:rPr>
          <w:szCs w:val="24"/>
          <w:lang w:val="ro-RO"/>
        </w:rPr>
        <w:t>- cheltuielile de realizare a acțiunii/proiectului/programului de tineret, precum costuri materiale şi servicii, închirieri de spatii şi aparatură, onorarii, prestări servicii</w:t>
      </w:r>
      <w:r>
        <w:rPr>
          <w:szCs w:val="24"/>
          <w:lang w:val="ro-RO"/>
        </w:rPr>
        <w:t xml:space="preserve"> </w:t>
      </w:r>
      <w:r w:rsidRPr="00511AB1">
        <w:rPr>
          <w:szCs w:val="24"/>
          <w:lang w:val="ro-RO"/>
        </w:rPr>
        <w:t>şi altele asemenea.</w:t>
      </w:r>
    </w:p>
    <w:p w14:paraId="266440DD" w14:textId="77777777" w:rsidR="00577327" w:rsidRPr="008E461F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 xml:space="preserve">- </w:t>
      </w:r>
      <w:bookmarkStart w:id="4" w:name="_Hlk90883888"/>
      <w:r w:rsidRPr="008E461F">
        <w:rPr>
          <w:rFonts w:eastAsia="Calibri"/>
          <w:szCs w:val="24"/>
          <w:lang w:val="ro-RO"/>
        </w:rPr>
        <w:t>costurile materialelor consumabile</w:t>
      </w:r>
      <w:bookmarkEnd w:id="4"/>
    </w:p>
    <w:p w14:paraId="6F192F5B" w14:textId="77777777" w:rsidR="00577327" w:rsidRPr="008E461F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 xml:space="preserve">- </w:t>
      </w:r>
      <w:bookmarkStart w:id="5" w:name="_Hlk90885228"/>
      <w:r w:rsidRPr="008E461F">
        <w:rPr>
          <w:rFonts w:eastAsia="Calibri"/>
          <w:szCs w:val="24"/>
          <w:lang w:val="ro-RO"/>
        </w:rPr>
        <w:t>costuri privind tipărituri</w:t>
      </w:r>
      <w:bookmarkEnd w:id="5"/>
    </w:p>
    <w:p w14:paraId="343AA46E" w14:textId="77777777" w:rsidR="00577327" w:rsidRPr="008E461F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 xml:space="preserve">- </w:t>
      </w:r>
      <w:bookmarkStart w:id="6" w:name="_Hlk90886129"/>
      <w:r w:rsidRPr="008E461F">
        <w:rPr>
          <w:rFonts w:eastAsia="Calibri"/>
          <w:szCs w:val="24"/>
          <w:lang w:val="ro-RO"/>
        </w:rPr>
        <w:t>costuri privind acțiuni  promoționale și de publicitate</w:t>
      </w:r>
      <w:bookmarkEnd w:id="6"/>
      <w:r w:rsidRPr="008E461F">
        <w:rPr>
          <w:rFonts w:eastAsia="Calibri"/>
          <w:szCs w:val="24"/>
          <w:lang w:val="ro-RO"/>
        </w:rPr>
        <w:t>.</w:t>
      </w:r>
    </w:p>
    <w:p w14:paraId="48C2D8DE" w14:textId="77777777" w:rsidR="00577327" w:rsidRPr="008E461F" w:rsidRDefault="00577327" w:rsidP="00577327">
      <w:pPr>
        <w:autoSpaceDE w:val="0"/>
        <w:autoSpaceDN w:val="0"/>
        <w:adjustRightInd w:val="0"/>
        <w:ind w:left="851"/>
        <w:jc w:val="both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- acordarea de premii pentru concursuri conform tipurilor de proiecte eligibile.</w:t>
      </w:r>
    </w:p>
    <w:p w14:paraId="76068C5F" w14:textId="77777777" w:rsidR="00577327" w:rsidRPr="008E461F" w:rsidRDefault="00577327" w:rsidP="00577327">
      <w:pPr>
        <w:pStyle w:val="ListParagraph"/>
        <w:autoSpaceDE w:val="0"/>
        <w:autoSpaceDN w:val="0"/>
        <w:adjustRightInd w:val="0"/>
        <w:ind w:left="521"/>
        <w:rPr>
          <w:rFonts w:eastAsia="Calibri"/>
          <w:szCs w:val="24"/>
          <w:lang w:val="ro-RO"/>
        </w:rPr>
      </w:pPr>
    </w:p>
    <w:p w14:paraId="7443FC8A" w14:textId="54EA46EE" w:rsidR="00577327" w:rsidRPr="008E461F" w:rsidRDefault="00577327" w:rsidP="00577327">
      <w:pPr>
        <w:autoSpaceDE w:val="0"/>
        <w:autoSpaceDN w:val="0"/>
        <w:adjustRightInd w:val="0"/>
        <w:rPr>
          <w:rFonts w:eastAsia="Calibri"/>
          <w:b/>
          <w:bCs/>
          <w:szCs w:val="24"/>
          <w:lang w:val="ro-RO"/>
        </w:rPr>
      </w:pPr>
      <w:r>
        <w:rPr>
          <w:rFonts w:eastAsia="Calibri"/>
          <w:szCs w:val="24"/>
          <w:lang w:val="ro-RO"/>
        </w:rPr>
        <w:t xml:space="preserve">3. </w:t>
      </w:r>
      <w:r w:rsidRPr="008E461F">
        <w:rPr>
          <w:rFonts w:eastAsia="Calibri"/>
          <w:szCs w:val="24"/>
          <w:lang w:val="ro-RO"/>
        </w:rPr>
        <w:t xml:space="preserve">Următoarele costuri sunt </w:t>
      </w:r>
      <w:r w:rsidRPr="008E461F">
        <w:rPr>
          <w:rFonts w:eastAsia="Calibri"/>
          <w:b/>
          <w:bCs/>
          <w:szCs w:val="24"/>
          <w:lang w:val="ro-RO"/>
        </w:rPr>
        <w:t>neeligibile:</w:t>
      </w:r>
    </w:p>
    <w:p w14:paraId="71AB689C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- Costuri privind salariile personalului;</w:t>
      </w:r>
    </w:p>
    <w:p w14:paraId="57D92CC5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- costuri privind activitățile curente ale beneficiarului (plata chiriei, plata facturilor pentru curentul electric, telefon, gaz, apă, etc);</w:t>
      </w:r>
    </w:p>
    <w:p w14:paraId="41976466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- costuri pentru studii pregătitoare;</w:t>
      </w:r>
    </w:p>
    <w:p w14:paraId="67F366EF" w14:textId="77777777" w:rsidR="00577327" w:rsidRPr="008E461F" w:rsidRDefault="00577327" w:rsidP="00577327">
      <w:pPr>
        <w:autoSpaceDE w:val="0"/>
        <w:autoSpaceDN w:val="0"/>
        <w:adjustRightInd w:val="0"/>
        <w:ind w:left="851"/>
        <w:rPr>
          <w:rFonts w:eastAsia="Calibri"/>
          <w:szCs w:val="24"/>
          <w:lang w:val="ro-RO"/>
        </w:rPr>
      </w:pPr>
      <w:r w:rsidRPr="008E461F">
        <w:rPr>
          <w:rFonts w:eastAsia="Calibri"/>
          <w:szCs w:val="24"/>
          <w:lang w:val="ro-RO"/>
        </w:rPr>
        <w:t>- costuri pentru mese festive şi</w:t>
      </w:r>
      <w:r>
        <w:rPr>
          <w:rFonts w:eastAsia="Calibri"/>
          <w:szCs w:val="24"/>
          <w:lang w:val="ro-RO"/>
        </w:rPr>
        <w:t xml:space="preserve"> de </w:t>
      </w:r>
      <w:r w:rsidRPr="008E461F">
        <w:rPr>
          <w:rFonts w:eastAsia="Calibri"/>
          <w:szCs w:val="24"/>
          <w:lang w:val="ro-RO"/>
        </w:rPr>
        <w:t xml:space="preserve"> protocol. </w:t>
      </w:r>
    </w:p>
    <w:p w14:paraId="7FC0BC68" w14:textId="77777777" w:rsidR="00577327" w:rsidRPr="008E461F" w:rsidRDefault="00577327" w:rsidP="00577327">
      <w:pPr>
        <w:autoSpaceDE w:val="0"/>
        <w:autoSpaceDN w:val="0"/>
        <w:adjustRightInd w:val="0"/>
        <w:rPr>
          <w:rFonts w:eastAsia="Calibri"/>
          <w:szCs w:val="24"/>
          <w:lang w:val="ro-RO"/>
        </w:rPr>
      </w:pPr>
    </w:p>
    <w:p w14:paraId="2008DCF7" w14:textId="77777777" w:rsidR="00577327" w:rsidRPr="00511AB1" w:rsidRDefault="00577327" w:rsidP="00577327">
      <w:pPr>
        <w:autoSpaceDE w:val="0"/>
        <w:autoSpaceDN w:val="0"/>
        <w:adjustRightInd w:val="0"/>
        <w:jc w:val="center"/>
        <w:rPr>
          <w:lang w:val="ro-RO"/>
        </w:rPr>
      </w:pPr>
    </w:p>
    <w:p w14:paraId="0F11BAE3" w14:textId="77777777" w:rsidR="00577327" w:rsidRDefault="00577327" w:rsidP="00577327">
      <w:pPr>
        <w:autoSpaceDE w:val="0"/>
        <w:autoSpaceDN w:val="0"/>
        <w:adjustRightInd w:val="0"/>
        <w:jc w:val="both"/>
        <w:rPr>
          <w:b/>
          <w:bCs/>
          <w:szCs w:val="24"/>
          <w:lang w:val="ro-RO"/>
        </w:rPr>
      </w:pPr>
      <w:r w:rsidRPr="00EC1E8F">
        <w:rPr>
          <w:b/>
          <w:bCs/>
          <w:szCs w:val="24"/>
          <w:lang w:val="ro-RO"/>
        </w:rPr>
        <w:t>Finanțările nerambursabile acordate nu pot fi folosite pentru acoperirea unor debite ale beneficiarilor sau pentru cheltuieli salariale ale persoanelor juridice de drept public partenere în proiect.</w:t>
      </w:r>
    </w:p>
    <w:p w14:paraId="296AF71B" w14:textId="77777777" w:rsidR="00577327" w:rsidRPr="00EC1E8F" w:rsidRDefault="00577327" w:rsidP="00577327">
      <w:pPr>
        <w:autoSpaceDE w:val="0"/>
        <w:autoSpaceDN w:val="0"/>
        <w:adjustRightInd w:val="0"/>
        <w:jc w:val="both"/>
        <w:rPr>
          <w:b/>
          <w:bCs/>
          <w:szCs w:val="24"/>
          <w:lang w:val="ro-RO"/>
        </w:rPr>
      </w:pPr>
    </w:p>
    <w:p w14:paraId="363B510F" w14:textId="77777777" w:rsidR="00577327" w:rsidRPr="00EC1E8F" w:rsidRDefault="00577327" w:rsidP="00577327">
      <w:pPr>
        <w:autoSpaceDE w:val="0"/>
        <w:autoSpaceDN w:val="0"/>
        <w:adjustRightInd w:val="0"/>
        <w:jc w:val="both"/>
        <w:rPr>
          <w:b/>
          <w:bCs/>
          <w:szCs w:val="24"/>
          <w:lang w:val="ro-RO"/>
        </w:rPr>
      </w:pPr>
      <w:r w:rsidRPr="00EC1E8F">
        <w:rPr>
          <w:b/>
          <w:bCs/>
          <w:szCs w:val="24"/>
          <w:lang w:val="ro-RO"/>
        </w:rPr>
        <w:t>Finanțările nerambursabile nu pot fi utilizate pentru activități generatoare de profit.</w:t>
      </w:r>
    </w:p>
    <w:p w14:paraId="1CA187F0" w14:textId="77777777" w:rsidR="00577327" w:rsidRPr="00511AB1" w:rsidRDefault="00577327" w:rsidP="00577327">
      <w:pPr>
        <w:jc w:val="both"/>
        <w:rPr>
          <w:szCs w:val="24"/>
          <w:lang w:val="ro-RO"/>
        </w:rPr>
      </w:pPr>
    </w:p>
    <w:p w14:paraId="2E0EB892" w14:textId="77777777" w:rsidR="00577327" w:rsidRDefault="00577327" w:rsidP="00577327">
      <w:pPr>
        <w:rPr>
          <w:lang w:val="ro-RO"/>
        </w:rPr>
      </w:pPr>
    </w:p>
    <w:p w14:paraId="05CB8F96" w14:textId="77777777" w:rsidR="00577327" w:rsidRDefault="00577327" w:rsidP="00577327">
      <w:pPr>
        <w:rPr>
          <w:lang w:val="ro-RO"/>
        </w:rPr>
      </w:pPr>
    </w:p>
    <w:p w14:paraId="6698DF31" w14:textId="77777777" w:rsidR="00B934E5" w:rsidRDefault="00B934E5"/>
    <w:sectPr w:rsidR="00B934E5" w:rsidSect="00C87F9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384421"/>
    <w:multiLevelType w:val="hybridMultilevel"/>
    <w:tmpl w:val="D5A22FE0"/>
    <w:lvl w:ilvl="0" w:tplc="5DE8F880">
      <w:start w:val="1"/>
      <w:numFmt w:val="lowerLetter"/>
      <w:lvlText w:val="%1)"/>
      <w:lvlJc w:val="left"/>
      <w:pPr>
        <w:ind w:left="521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209434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27"/>
    <w:rsid w:val="00067358"/>
    <w:rsid w:val="000C7218"/>
    <w:rsid w:val="00114467"/>
    <w:rsid w:val="00387DA4"/>
    <w:rsid w:val="00577327"/>
    <w:rsid w:val="005B2D4C"/>
    <w:rsid w:val="00696EE9"/>
    <w:rsid w:val="00773629"/>
    <w:rsid w:val="009C6246"/>
    <w:rsid w:val="009D55CD"/>
    <w:rsid w:val="00A67AF4"/>
    <w:rsid w:val="00B551CA"/>
    <w:rsid w:val="00B934E5"/>
    <w:rsid w:val="00C6453F"/>
    <w:rsid w:val="00C67268"/>
    <w:rsid w:val="00C87F94"/>
    <w:rsid w:val="00CF273A"/>
    <w:rsid w:val="00DB5FE2"/>
    <w:rsid w:val="00E004CF"/>
    <w:rsid w:val="00E2332F"/>
    <w:rsid w:val="00EE0105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A1C7"/>
  <w15:chartTrackingRefBased/>
  <w15:docId w15:val="{B311120A-4036-4BFE-9201-D22FE6D2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327"/>
    <w:rPr>
      <w:rFonts w:eastAsia="Times New Roman"/>
      <w:snapToGrid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3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73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327"/>
    <w:rPr>
      <w:rFonts w:asciiTheme="majorHAnsi" w:eastAsiaTheme="majorEastAsia" w:hAnsiTheme="majorHAnsi" w:cstheme="majorBidi"/>
      <w:snapToGrid/>
      <w:color w:val="2F5496" w:themeColor="accent1" w:themeShade="BF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77327"/>
    <w:rPr>
      <w:rFonts w:asciiTheme="majorHAnsi" w:eastAsiaTheme="majorEastAsia" w:hAnsiTheme="majorHAnsi" w:cstheme="majorBidi"/>
      <w:i/>
      <w:iCs/>
      <w:snapToGrid/>
      <w:color w:val="2F5496" w:themeColor="accent1" w:themeShade="BF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77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</cp:revision>
  <dcterms:created xsi:type="dcterms:W3CDTF">2024-10-08T11:42:00Z</dcterms:created>
  <dcterms:modified xsi:type="dcterms:W3CDTF">2024-10-08T11:47:00Z</dcterms:modified>
</cp:coreProperties>
</file>