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77" w:rsidRPr="00643577" w:rsidRDefault="00643577" w:rsidP="00643577">
      <w:pPr>
        <w:keepNext/>
        <w:spacing w:after="0" w:line="240" w:lineRule="auto"/>
        <w:jc w:val="both"/>
        <w:outlineLvl w:val="1"/>
        <w:rPr>
          <w:rFonts w:ascii="Trebuchet MS" w:eastAsia="Times New Roman" w:hAnsi="Trebuchet MS" w:cs="Times New Roman"/>
          <w:b/>
          <w:noProof w:val="0"/>
          <w:sz w:val="20"/>
          <w:szCs w:val="20"/>
        </w:rPr>
      </w:pPr>
      <w:bookmarkStart w:id="0" w:name="_Toc468952565"/>
    </w:p>
    <w:p w:rsidR="00643577" w:rsidRPr="00643577" w:rsidRDefault="00643577" w:rsidP="00643577">
      <w:pPr>
        <w:keepNext/>
        <w:spacing w:after="0" w:line="240" w:lineRule="auto"/>
        <w:jc w:val="both"/>
        <w:outlineLvl w:val="1"/>
        <w:rPr>
          <w:rFonts w:ascii="Trebuchet MS" w:eastAsia="Times New Roman" w:hAnsi="Trebuchet MS" w:cs="Times New Roman"/>
          <w:b/>
          <w:noProof w:val="0"/>
          <w:sz w:val="20"/>
          <w:szCs w:val="20"/>
        </w:rPr>
      </w:pPr>
      <w:r w:rsidRPr="00643577">
        <w:rPr>
          <w:rFonts w:ascii="Trebuchet MS" w:eastAsia="Times New Roman" w:hAnsi="Trebuchet MS" w:cs="Times New Roman"/>
          <w:b/>
          <w:noProof w:val="0"/>
          <w:sz w:val="20"/>
          <w:szCs w:val="20"/>
        </w:rPr>
        <w:t>SECȚIUNEA II - CONDIȚII SPECIFICE APLICABILE  PRIORITATII DE INVESTIŢII 4E – OBIECTIV SPECIFIC 4.1, DIN CADRUL POR 2014-2020</w:t>
      </w:r>
    </w:p>
    <w:p w:rsidR="00643577" w:rsidRPr="00643577" w:rsidRDefault="00643577" w:rsidP="00643577">
      <w:pPr>
        <w:keepNext/>
        <w:spacing w:after="0" w:line="240" w:lineRule="auto"/>
        <w:jc w:val="both"/>
        <w:outlineLvl w:val="1"/>
        <w:rPr>
          <w:rFonts w:ascii="Trebuchet MS" w:eastAsia="Times New Roman" w:hAnsi="Trebuchet MS" w:cs="Times New Roman"/>
          <w:b/>
          <w:noProof w:val="0"/>
          <w:sz w:val="20"/>
          <w:szCs w:val="20"/>
        </w:rPr>
      </w:pPr>
    </w:p>
    <w:p w:rsidR="00643577" w:rsidRPr="00643577" w:rsidRDefault="00643577" w:rsidP="00643577">
      <w:pPr>
        <w:keepNext/>
        <w:spacing w:after="0" w:line="240" w:lineRule="auto"/>
        <w:jc w:val="both"/>
        <w:outlineLvl w:val="1"/>
        <w:rPr>
          <w:rFonts w:ascii="Trebuchet MS" w:eastAsia="Times New Roman" w:hAnsi="Trebuchet MS" w:cs="Times New Roman"/>
          <w:b/>
          <w:noProof w:val="0"/>
          <w:sz w:val="20"/>
          <w:szCs w:val="20"/>
        </w:rPr>
      </w:pPr>
      <w:r w:rsidRPr="00643577">
        <w:rPr>
          <w:rFonts w:ascii="Trebuchet MS" w:eastAsia="Times New Roman" w:hAnsi="Trebuchet MS" w:cs="Times New Roman"/>
          <w:b/>
          <w:noProof w:val="0"/>
          <w:sz w:val="20"/>
          <w:szCs w:val="20"/>
        </w:rPr>
        <w:t>Articolul 1- Alte obligații specifice beneficiarului</w:t>
      </w:r>
    </w:p>
    <w:bookmarkEnd w:id="0"/>
    <w:p w:rsidR="00643577" w:rsidRPr="00643577" w:rsidRDefault="00643577" w:rsidP="00643577">
      <w:pPr>
        <w:spacing w:after="0" w:line="240" w:lineRule="auto"/>
        <w:jc w:val="both"/>
        <w:rPr>
          <w:rFonts w:ascii="Trebuchet MS" w:eastAsia="Times New Roman" w:hAnsi="Trebuchet MS" w:cs="Times New Roman"/>
          <w:b/>
          <w:noProof w:val="0"/>
          <w:sz w:val="20"/>
          <w:szCs w:val="20"/>
        </w:rPr>
      </w:pPr>
    </w:p>
    <w:p w:rsidR="00643577" w:rsidRPr="00643577" w:rsidRDefault="00643577" w:rsidP="00643577">
      <w:pPr>
        <w:spacing w:after="0" w:line="240" w:lineRule="auto"/>
        <w:jc w:val="both"/>
        <w:rPr>
          <w:rFonts w:ascii="Trebuchet MS" w:eastAsia="SimSun" w:hAnsi="Trebuchet MS" w:cs="Times New Roman"/>
          <w:noProof w:val="0"/>
          <w:sz w:val="20"/>
          <w:szCs w:val="20"/>
        </w:rPr>
      </w:pPr>
      <w:bookmarkStart w:id="1" w:name="_Articolul_8_-"/>
      <w:bookmarkEnd w:id="1"/>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Prin excepție de la art 7 alin. (2) din Condițiile generale, precum și de la art. 13, alin. (2) din Condițiile specifice POR din cadrul prezentei anexe, pentru proiect</w:t>
      </w:r>
      <w:r w:rsidR="00C649C7">
        <w:rPr>
          <w:rFonts w:ascii="Trebuchet MS" w:eastAsia="Times New Roman" w:hAnsi="Trebuchet MS" w:cs="Times New Roman"/>
          <w:noProof w:val="0"/>
          <w:sz w:val="20"/>
          <w:szCs w:val="20"/>
        </w:rPr>
        <w:t>ele contractate la faza SF/DALI</w:t>
      </w:r>
      <w:r w:rsidRPr="00643577">
        <w:rPr>
          <w:rFonts w:ascii="Trebuchet MS" w:eastAsia="Times New Roman" w:hAnsi="Trebuchet MS" w:cs="Times New Roman"/>
          <w:noProof w:val="0"/>
          <w:sz w:val="20"/>
          <w:szCs w:val="20"/>
        </w:rPr>
        <w:t>, termenul de 6 (șase) luni pentru începerea executării contractului se reduce la cel mult 2 (două) luni pentru lansarea achiziției pentru proiectul tehnic, iar termenul maxim pentru lansarea achiziției de execuție lucrări este de 9 (nouă) luni, termene calculate de la intrarea în vigoare a contractului.</w:t>
      </w:r>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Prin excepție de la art. 7 alin. (2) din Condițiile generale, precum și de la art. 13, alin. (2) din Condițiile specifice POR din cadrul prezentei anexe, pentru proiectele contractate la faza PT</w:t>
      </w:r>
      <w:r w:rsidR="00CD772B">
        <w:rPr>
          <w:rFonts w:ascii="Trebuchet MS" w:eastAsia="Times New Roman" w:hAnsi="Trebuchet MS" w:cs="Times New Roman"/>
          <w:noProof w:val="0"/>
          <w:sz w:val="20"/>
          <w:szCs w:val="20"/>
        </w:rPr>
        <w:t>/studiu de oportunitate</w:t>
      </w:r>
      <w:r w:rsidRPr="00643577">
        <w:rPr>
          <w:rFonts w:ascii="Trebuchet MS" w:eastAsia="Times New Roman" w:hAnsi="Trebuchet MS" w:cs="Times New Roman"/>
          <w:noProof w:val="0"/>
          <w:sz w:val="20"/>
          <w:szCs w:val="20"/>
        </w:rPr>
        <w:t>, termenul de 6 (șase) luni pentru începerea executării contractului se reduce la cel mult 2 (două) luni pentru lansarea achiziției de execuție lucrări</w:t>
      </w:r>
      <w:r w:rsidR="00CD772B">
        <w:rPr>
          <w:rFonts w:ascii="Trebuchet MS" w:eastAsia="Times New Roman" w:hAnsi="Trebuchet MS" w:cs="Times New Roman"/>
          <w:noProof w:val="0"/>
          <w:sz w:val="20"/>
          <w:szCs w:val="20"/>
        </w:rPr>
        <w:t>/</w:t>
      </w:r>
      <w:r w:rsidR="00CD772B" w:rsidRPr="00C34DF2">
        <w:rPr>
          <w:rFonts w:ascii="Trebuchet MS" w:eastAsia="Times New Roman" w:hAnsi="Trebuchet MS" w:cs="Times New Roman"/>
          <w:noProof w:val="0"/>
          <w:sz w:val="20"/>
          <w:szCs w:val="20"/>
        </w:rPr>
        <w:t>furnizare</w:t>
      </w:r>
      <w:r w:rsidR="00C649C7">
        <w:rPr>
          <w:rFonts w:ascii="Trebuchet MS" w:eastAsia="Times New Roman" w:hAnsi="Trebuchet MS" w:cs="Times New Roman"/>
          <w:noProof w:val="0"/>
          <w:sz w:val="20"/>
          <w:szCs w:val="20"/>
        </w:rPr>
        <w:t xml:space="preserve"> echipamente/mijloace de transport</w:t>
      </w:r>
      <w:r w:rsidR="00CD772B" w:rsidRPr="00C34DF2">
        <w:rPr>
          <w:rFonts w:ascii="Trebuchet MS" w:eastAsia="Times New Roman" w:hAnsi="Trebuchet MS" w:cs="Times New Roman"/>
          <w:noProof w:val="0"/>
          <w:sz w:val="20"/>
          <w:szCs w:val="20"/>
        </w:rPr>
        <w:t>/</w:t>
      </w:r>
      <w:r w:rsidR="00C649C7">
        <w:rPr>
          <w:rFonts w:ascii="Trebuchet MS" w:eastAsia="Times New Roman" w:hAnsi="Trebuchet MS" w:cs="Times New Roman"/>
          <w:noProof w:val="0"/>
          <w:sz w:val="20"/>
          <w:szCs w:val="20"/>
        </w:rPr>
        <w:t xml:space="preserve">servicii </w:t>
      </w:r>
      <w:r w:rsidR="00CD772B" w:rsidRPr="00C34DF2">
        <w:rPr>
          <w:rFonts w:ascii="Trebuchet MS" w:eastAsia="Times New Roman" w:hAnsi="Trebuchet MS" w:cs="Times New Roman"/>
          <w:noProof w:val="0"/>
          <w:sz w:val="20"/>
          <w:szCs w:val="20"/>
        </w:rPr>
        <w:t>modernizare</w:t>
      </w:r>
      <w:r w:rsidR="00C649C7">
        <w:rPr>
          <w:rFonts w:ascii="Trebuchet MS" w:eastAsia="Times New Roman" w:hAnsi="Trebuchet MS" w:cs="Times New Roman"/>
          <w:noProof w:val="0"/>
          <w:sz w:val="20"/>
          <w:szCs w:val="20"/>
        </w:rPr>
        <w:t xml:space="preserve"> de</w:t>
      </w:r>
      <w:bookmarkStart w:id="2" w:name="_GoBack"/>
      <w:bookmarkEnd w:id="2"/>
      <w:r w:rsidR="00CD772B" w:rsidRPr="00C34DF2">
        <w:rPr>
          <w:rFonts w:ascii="Trebuchet MS" w:eastAsia="Times New Roman" w:hAnsi="Trebuchet MS" w:cs="Times New Roman"/>
          <w:noProof w:val="0"/>
          <w:sz w:val="20"/>
          <w:szCs w:val="20"/>
        </w:rPr>
        <w:t xml:space="preserve"> tramvaie</w:t>
      </w:r>
      <w:r w:rsidRPr="00643577">
        <w:rPr>
          <w:rFonts w:ascii="Trebuchet MS" w:eastAsia="Times New Roman" w:hAnsi="Trebuchet MS" w:cs="Times New Roman"/>
          <w:noProof w:val="0"/>
          <w:sz w:val="20"/>
          <w:szCs w:val="20"/>
        </w:rPr>
        <w:t>, termen calculat de la intrarea în vigoare a contractului.</w:t>
      </w:r>
    </w:p>
    <w:p w:rsid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 xml:space="preserve">Beneficiarul are obligația ca pe perioada de durabilitate prevăzută la art. 2 alin. (5) din Condiții generale, să asigure întreținerea/mentenanța investiției în conformitate cu prevederile legale în vigoare, în caz contrar AM </w:t>
      </w:r>
      <w:r w:rsidR="00C92F15">
        <w:rPr>
          <w:rFonts w:ascii="Trebuchet MS" w:eastAsia="Times New Roman" w:hAnsi="Trebuchet MS" w:cs="Times New Roman"/>
          <w:noProof w:val="0"/>
          <w:sz w:val="20"/>
          <w:szCs w:val="20"/>
        </w:rPr>
        <w:t xml:space="preserve">POR </w:t>
      </w:r>
      <w:r w:rsidRPr="00643577">
        <w:rPr>
          <w:rFonts w:ascii="Trebuchet MS" w:eastAsia="Times New Roman" w:hAnsi="Trebuchet MS" w:cs="Times New Roman"/>
          <w:noProof w:val="0"/>
          <w:sz w:val="20"/>
          <w:szCs w:val="20"/>
        </w:rPr>
        <w:t xml:space="preserve">putând dispune rezilierea și recuperarea finanțării acordate în conformitate cu prevederile prezentului contract. </w:t>
      </w:r>
    </w:p>
    <w:p w:rsidR="00251C9B" w:rsidRPr="00643577" w:rsidRDefault="00251C9B" w:rsidP="00251C9B">
      <w:pPr>
        <w:numPr>
          <w:ilvl w:val="0"/>
          <w:numId w:val="1"/>
        </w:numPr>
        <w:spacing w:before="120" w:after="120" w:line="240" w:lineRule="auto"/>
        <w:jc w:val="both"/>
        <w:rPr>
          <w:rFonts w:ascii="Trebuchet MS" w:eastAsia="Times New Roman" w:hAnsi="Trebuchet MS" w:cs="Times New Roman"/>
          <w:noProof w:val="0"/>
          <w:sz w:val="20"/>
          <w:szCs w:val="20"/>
        </w:rPr>
      </w:pPr>
      <w:r>
        <w:rPr>
          <w:rFonts w:ascii="Trebuchet MS" w:eastAsia="Times New Roman" w:hAnsi="Trebuchet MS" w:cs="Times New Roman"/>
          <w:noProof w:val="0"/>
          <w:sz w:val="20"/>
          <w:szCs w:val="20"/>
        </w:rPr>
        <w:t xml:space="preserve">Dacă este cazul, beneficiarul are obligația efectuării activităţilor complementare proiectului aferent </w:t>
      </w:r>
      <w:r w:rsidR="00C92F15">
        <w:rPr>
          <w:rFonts w:ascii="Trebuchet MS" w:eastAsia="Times New Roman" w:hAnsi="Trebuchet MS" w:cs="Times New Roman"/>
          <w:noProof w:val="0"/>
          <w:sz w:val="20"/>
          <w:szCs w:val="20"/>
        </w:rPr>
        <w:t>prezentului Contract</w:t>
      </w:r>
      <w:r>
        <w:rPr>
          <w:rFonts w:ascii="Trebuchet MS" w:eastAsia="Times New Roman" w:hAnsi="Trebuchet MS" w:cs="Times New Roman"/>
          <w:noProof w:val="0"/>
          <w:sz w:val="20"/>
          <w:szCs w:val="20"/>
        </w:rPr>
        <w:t xml:space="preserve"> de finanţare, </w:t>
      </w:r>
      <w:r w:rsidRPr="00251C9B">
        <w:rPr>
          <w:rFonts w:ascii="Trebuchet MS" w:eastAsia="Times New Roman" w:hAnsi="Trebuchet MS" w:cs="Times New Roman"/>
          <w:noProof w:val="0"/>
          <w:sz w:val="20"/>
          <w:szCs w:val="20"/>
        </w:rPr>
        <w:t>în caz contrar AM</w:t>
      </w:r>
      <w:r w:rsidR="00C92F15">
        <w:rPr>
          <w:rFonts w:ascii="Trebuchet MS" w:eastAsia="Times New Roman" w:hAnsi="Trebuchet MS" w:cs="Times New Roman"/>
          <w:noProof w:val="0"/>
          <w:sz w:val="20"/>
          <w:szCs w:val="20"/>
        </w:rPr>
        <w:t xml:space="preserve"> POR</w:t>
      </w:r>
      <w:r w:rsidRPr="00251C9B">
        <w:rPr>
          <w:rFonts w:ascii="Trebuchet MS" w:eastAsia="Times New Roman" w:hAnsi="Trebuchet MS" w:cs="Times New Roman"/>
          <w:noProof w:val="0"/>
          <w:sz w:val="20"/>
          <w:szCs w:val="20"/>
        </w:rPr>
        <w:t xml:space="preserve"> putând dispune rezilierea și recuperarea finanțării acordate în conformitate cu prevederile prezentului contract. </w:t>
      </w:r>
      <w:r>
        <w:rPr>
          <w:rFonts w:ascii="Trebuchet MS" w:eastAsia="Times New Roman" w:hAnsi="Trebuchet MS" w:cs="Times New Roman"/>
          <w:noProof w:val="0"/>
          <w:sz w:val="20"/>
          <w:szCs w:val="20"/>
        </w:rPr>
        <w:t xml:space="preserve"> </w:t>
      </w:r>
    </w:p>
    <w:p w:rsidR="00643577" w:rsidRPr="00643577" w:rsidRDefault="00643577" w:rsidP="00643577">
      <w:pPr>
        <w:spacing w:before="120" w:after="120" w:line="240" w:lineRule="auto"/>
        <w:jc w:val="both"/>
        <w:rPr>
          <w:rFonts w:ascii="Trebuchet MS" w:eastAsia="Times New Roman" w:hAnsi="Trebuchet MS" w:cs="Times New Roman"/>
          <w:i/>
          <w:noProof w:val="0"/>
          <w:sz w:val="20"/>
          <w:szCs w:val="20"/>
        </w:rPr>
      </w:pPr>
      <w:r w:rsidRPr="00643577">
        <w:rPr>
          <w:rFonts w:ascii="Trebuchet MS" w:eastAsia="Times New Roman" w:hAnsi="Trebuchet MS" w:cs="Times New Roman"/>
          <w:i/>
          <w:noProof w:val="0"/>
          <w:sz w:val="20"/>
          <w:szCs w:val="20"/>
        </w:rPr>
        <w:t xml:space="preserve"> (Pentru proiecte privind componentele sistemelor de transport public de călători, după caz)</w:t>
      </w:r>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Beneficiarul are obligația să includă bunurile finanţate, aferente sistemelor de transport public, în domeniul public al unităţilor administrativ-teritoriale, în conformitate cu prevederile din Legea nr. 51/2006</w:t>
      </w:r>
      <w:r w:rsidRPr="00643577">
        <w:rPr>
          <w:rFonts w:ascii="Trebuchet MS" w:eastAsia="Times New Roman" w:hAnsi="Trebuchet MS" w:cs="Times New Roman"/>
          <w:noProof w:val="0"/>
          <w:sz w:val="20"/>
          <w:szCs w:val="20"/>
          <w:vertAlign w:val="superscript"/>
        </w:rPr>
        <w:footnoteReference w:id="1"/>
      </w:r>
      <w:r w:rsidRPr="00643577">
        <w:rPr>
          <w:rFonts w:ascii="Trebuchet MS" w:eastAsia="Times New Roman" w:hAnsi="Trebuchet MS" w:cs="Times New Roman"/>
          <w:noProof w:val="0"/>
          <w:sz w:val="20"/>
          <w:szCs w:val="20"/>
        </w:rPr>
        <w:t xml:space="preserve"> republicată, cu modificările şi completările ulterioare.</w:t>
      </w:r>
    </w:p>
    <w:p w:rsid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 xml:space="preserve">Beneficiarul are obligaţia de a depune contractul de delegare a gestiunii serviciului de transport public de călători sau hotărârea de dare în administrarea a serviciului, în funcție de tipul operatorului, în conformitate cu prevederile Regulamentului (CE) nr. 1370/2007, în termen de maxim 1 an de la semnarea contractului de finanţare, în caz contrar, contractul de finanţare va fi reziliat şi finanţarea acordată va fi retrasă/recuperată. </w:t>
      </w:r>
    </w:p>
    <w:p w:rsidR="003841AD" w:rsidRPr="00643577" w:rsidRDefault="00897061" w:rsidP="00E07B9A">
      <w:pPr>
        <w:numPr>
          <w:ilvl w:val="0"/>
          <w:numId w:val="1"/>
        </w:numPr>
        <w:spacing w:before="120" w:after="120" w:line="240" w:lineRule="auto"/>
        <w:jc w:val="both"/>
        <w:rPr>
          <w:rFonts w:ascii="Trebuchet MS" w:eastAsia="Times New Roman" w:hAnsi="Trebuchet MS" w:cs="Times New Roman"/>
          <w:noProof w:val="0"/>
          <w:sz w:val="20"/>
          <w:szCs w:val="20"/>
        </w:rPr>
      </w:pPr>
      <w:r>
        <w:rPr>
          <w:rFonts w:ascii="Trebuchet MS" w:eastAsia="Times New Roman" w:hAnsi="Trebuchet MS" w:cs="Times New Roman"/>
          <w:noProof w:val="0"/>
          <w:sz w:val="20"/>
          <w:szCs w:val="20"/>
        </w:rPr>
        <w:t>Î</w:t>
      </w:r>
      <w:r w:rsidRPr="00897061">
        <w:rPr>
          <w:rFonts w:ascii="Trebuchet MS" w:eastAsia="Times New Roman" w:hAnsi="Trebuchet MS" w:cs="Times New Roman"/>
          <w:noProof w:val="0"/>
          <w:sz w:val="20"/>
          <w:szCs w:val="20"/>
        </w:rPr>
        <w:t>n situaţia în care la momentul depunerii Cererii de finanţare operatorul de transport este reprezentat de o regie autonomă de interes local/judeţean şi sunt apl</w:t>
      </w:r>
      <w:r>
        <w:rPr>
          <w:rFonts w:ascii="Trebuchet MS" w:eastAsia="Times New Roman" w:hAnsi="Trebuchet MS" w:cs="Times New Roman"/>
          <w:noProof w:val="0"/>
          <w:sz w:val="20"/>
          <w:szCs w:val="20"/>
        </w:rPr>
        <w:t>i</w:t>
      </w:r>
      <w:r w:rsidRPr="00897061">
        <w:rPr>
          <w:rFonts w:ascii="Trebuchet MS" w:eastAsia="Times New Roman" w:hAnsi="Trebuchet MS" w:cs="Times New Roman"/>
          <w:noProof w:val="0"/>
          <w:sz w:val="20"/>
          <w:szCs w:val="20"/>
        </w:rPr>
        <w:t xml:space="preserve">cabile prevederile </w:t>
      </w:r>
      <w:r>
        <w:rPr>
          <w:rFonts w:ascii="Trebuchet MS" w:eastAsia="Times New Roman" w:hAnsi="Trebuchet MS" w:cs="Times New Roman"/>
          <w:noProof w:val="0"/>
          <w:sz w:val="20"/>
          <w:szCs w:val="20"/>
        </w:rPr>
        <w:t xml:space="preserve">cu privire la regulile de ajutorul de stat </w:t>
      </w:r>
      <w:r w:rsidRPr="00897061">
        <w:rPr>
          <w:rFonts w:ascii="Trebuchet MS" w:eastAsia="Times New Roman" w:hAnsi="Trebuchet MS" w:cs="Times New Roman"/>
          <w:noProof w:val="0"/>
          <w:sz w:val="20"/>
          <w:szCs w:val="20"/>
        </w:rPr>
        <w:t>din prezentul ghid</w:t>
      </w:r>
      <w:r>
        <w:rPr>
          <w:rFonts w:ascii="Trebuchet MS" w:eastAsia="Times New Roman" w:hAnsi="Trebuchet MS" w:cs="Times New Roman"/>
          <w:noProof w:val="0"/>
          <w:sz w:val="20"/>
          <w:szCs w:val="20"/>
        </w:rPr>
        <w:t xml:space="preserve">, </w:t>
      </w:r>
      <w:r w:rsidRPr="00897061">
        <w:rPr>
          <w:rFonts w:ascii="Trebuchet MS" w:eastAsia="Times New Roman" w:hAnsi="Trebuchet MS" w:cs="Times New Roman"/>
          <w:noProof w:val="0"/>
          <w:sz w:val="20"/>
          <w:szCs w:val="20"/>
        </w:rPr>
        <w:t>în termen de maxim 1 an de la semnarea contractului de finanţare</w:t>
      </w:r>
      <w:r>
        <w:rPr>
          <w:rFonts w:ascii="Trebuchet MS" w:eastAsia="Times New Roman" w:hAnsi="Trebuchet MS" w:cs="Times New Roman"/>
          <w:noProof w:val="0"/>
          <w:sz w:val="20"/>
          <w:szCs w:val="20"/>
        </w:rPr>
        <w:t xml:space="preserve"> se vor respecta </w:t>
      </w:r>
      <w:r w:rsidR="00E07B9A" w:rsidRPr="00E07B9A">
        <w:rPr>
          <w:rFonts w:ascii="Trebuchet MS" w:eastAsia="Times New Roman" w:hAnsi="Trebuchet MS" w:cs="Times New Roman"/>
          <w:noProof w:val="0"/>
          <w:sz w:val="20"/>
          <w:szCs w:val="20"/>
        </w:rPr>
        <w:t>prevederile din Legea nr. 51/2006</w:t>
      </w:r>
      <w:r w:rsidR="00E07B9A">
        <w:rPr>
          <w:rStyle w:val="FootnoteReference"/>
          <w:rFonts w:ascii="Trebuchet MS" w:eastAsia="Times New Roman" w:hAnsi="Trebuchet MS" w:cs="Times New Roman"/>
          <w:noProof w:val="0"/>
          <w:sz w:val="20"/>
          <w:szCs w:val="20"/>
        </w:rPr>
        <w:footnoteReference w:id="2"/>
      </w:r>
      <w:r w:rsidR="00E07B9A" w:rsidRPr="00E07B9A">
        <w:rPr>
          <w:rFonts w:ascii="Trebuchet MS" w:eastAsia="Times New Roman" w:hAnsi="Trebuchet MS" w:cs="Times New Roman"/>
          <w:noProof w:val="0"/>
          <w:sz w:val="20"/>
          <w:szCs w:val="20"/>
        </w:rPr>
        <w:t xml:space="preserve">  republicată, cu modificările şi completările ulterioare</w:t>
      </w:r>
      <w:r w:rsidR="00E07B9A">
        <w:rPr>
          <w:rFonts w:ascii="Trebuchet MS" w:eastAsia="Times New Roman" w:hAnsi="Trebuchet MS" w:cs="Times New Roman"/>
          <w:noProof w:val="0"/>
          <w:sz w:val="20"/>
          <w:szCs w:val="20"/>
        </w:rPr>
        <w:t>.</w:t>
      </w:r>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Beneficiarul are obligaţia de a încasa redevenţa în cuantumul stabilit prin contractul de delegare a gestiunii serviciului, proporţional cu valoarea și durata contractului.</w:t>
      </w:r>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 xml:space="preserve">Pe perioada durabilităţii contractului de finanţare, beneficiarul are obligaţia de a publica anual pe website-ul oficial al instituţiei, în conformitate cu dispoziţiile art. 7 alin. (1) din Regulamentul (CE) nr. 1370/2007, un raport cumulativ care să cuprindă: obligaţiile de serviciu public de transport de călători pentru fiecare tip de transport public prestat, operatorii selectaţi de serviciu public de transport de călători, procedura de atribuire utilizată, natura și întinderea eventualelor drepturi exclusive acordate operatorilor de </w:t>
      </w:r>
      <w:r w:rsidRPr="00643577">
        <w:rPr>
          <w:rFonts w:ascii="Trebuchet MS" w:eastAsia="Times New Roman" w:hAnsi="Trebuchet MS" w:cs="Times New Roman"/>
          <w:noProof w:val="0"/>
          <w:sz w:val="20"/>
          <w:szCs w:val="20"/>
        </w:rPr>
        <w:lastRenderedPageBreak/>
        <w:t xml:space="preserve">serviciu public, plățile compensatorii acordate operatorilor, îndeplinirea de către operator a indicatorilor de performanţă stabiliţi prin contract etc. </w:t>
      </w:r>
    </w:p>
    <w:p w:rsid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Beneficiarul are obligaţia ca pe întreaga perioadă de durabilitate a contractului de finanţare, să asigure prestarea serviciului de transport public de călători, pentru care s-au realizat investiţii prin Obiectivul Specific 4.1 al POR 2014-2020, în baza unui contract de delegare a gestiunii serviciului conform cu Regulamentul (CE) nr. 1370/2007.</w:t>
      </w:r>
    </w:p>
    <w:p w:rsidR="0094785F" w:rsidRPr="005C091D" w:rsidRDefault="0094785F" w:rsidP="005C091D">
      <w:pPr>
        <w:numPr>
          <w:ilvl w:val="0"/>
          <w:numId w:val="1"/>
        </w:numPr>
        <w:spacing w:before="120" w:after="120" w:line="240" w:lineRule="auto"/>
        <w:jc w:val="both"/>
        <w:rPr>
          <w:rFonts w:ascii="Trebuchet MS" w:eastAsia="Times New Roman" w:hAnsi="Trebuchet MS" w:cs="Times New Roman"/>
          <w:noProof w:val="0"/>
          <w:sz w:val="20"/>
          <w:szCs w:val="20"/>
        </w:rPr>
      </w:pPr>
      <w:r w:rsidRPr="0094785F">
        <w:rPr>
          <w:rFonts w:ascii="Trebuchet MS" w:eastAsia="Times New Roman" w:hAnsi="Trebuchet MS" w:cs="Times New Roman"/>
          <w:noProof w:val="0"/>
          <w:sz w:val="20"/>
          <w:szCs w:val="20"/>
        </w:rPr>
        <w:t>Beneficiarul are obligaţia ca pe întreaga perioadă de durabilitate a contractului de finanţare, să asigure</w:t>
      </w:r>
      <w:r w:rsidR="005C091D">
        <w:rPr>
          <w:rFonts w:ascii="Trebuchet MS" w:eastAsia="Times New Roman" w:hAnsi="Trebuchet MS" w:cs="Times New Roman"/>
          <w:noProof w:val="0"/>
          <w:sz w:val="20"/>
          <w:szCs w:val="20"/>
        </w:rPr>
        <w:t xml:space="preserve"> menţinerea traseelor</w:t>
      </w:r>
      <w:r w:rsidR="005C091D" w:rsidRPr="005C091D">
        <w:rPr>
          <w:rFonts w:ascii="Trebuchet MS" w:eastAsia="Times New Roman" w:hAnsi="Trebuchet MS" w:cs="Times New Roman"/>
          <w:noProof w:val="0"/>
          <w:sz w:val="20"/>
          <w:szCs w:val="20"/>
        </w:rPr>
        <w:t xml:space="preserve"> de transport public de călători ca</w:t>
      </w:r>
      <w:r w:rsidR="005C091D">
        <w:rPr>
          <w:rFonts w:ascii="Trebuchet MS" w:eastAsia="Times New Roman" w:hAnsi="Trebuchet MS" w:cs="Times New Roman"/>
          <w:noProof w:val="0"/>
          <w:sz w:val="20"/>
          <w:szCs w:val="20"/>
        </w:rPr>
        <w:t>re au facut obiectul finanţării</w:t>
      </w:r>
      <w:r w:rsidR="005C091D" w:rsidRPr="005C091D">
        <w:rPr>
          <w:rFonts w:ascii="Trebuchet MS" w:eastAsia="Times New Roman" w:hAnsi="Trebuchet MS" w:cs="Times New Roman"/>
          <w:noProof w:val="0"/>
          <w:sz w:val="20"/>
          <w:szCs w:val="20"/>
        </w:rPr>
        <w:t>, în caz contrar finanţarea fiind retrasă şi recuperată.</w:t>
      </w:r>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Beneficiarul are obligaţia ca pe toată periada de durabilitate a contractului de finanţare să nu ofere o compensaţie financiară care să depășeasca efectului financiar net, conform art. 2 din Anexa la Regulamentul (CE) nr. 1370/2007. În cazul înregistrării unei supracompensări anuale acordate operatorului, beneficiarul va recupera de la operator diferenţa până la suma corespunzătoare compensaţiei datorate.</w:t>
      </w:r>
    </w:p>
    <w:p w:rsidR="00643577" w:rsidRPr="00643577" w:rsidRDefault="005C091D" w:rsidP="00643577">
      <w:pPr>
        <w:numPr>
          <w:ilvl w:val="0"/>
          <w:numId w:val="1"/>
        </w:numPr>
        <w:spacing w:before="120" w:after="120" w:line="240" w:lineRule="auto"/>
        <w:jc w:val="both"/>
        <w:rPr>
          <w:rFonts w:ascii="Trebuchet MS" w:eastAsia="Times New Roman" w:hAnsi="Trebuchet MS" w:cs="Times New Roman"/>
          <w:noProof w:val="0"/>
          <w:sz w:val="20"/>
          <w:szCs w:val="20"/>
        </w:rPr>
      </w:pPr>
      <w:r>
        <w:rPr>
          <w:rFonts w:ascii="Trebuchet MS" w:eastAsia="Times New Roman" w:hAnsi="Trebuchet MS" w:cs="Times New Roman"/>
          <w:noProof w:val="0"/>
          <w:sz w:val="20"/>
          <w:szCs w:val="20"/>
        </w:rPr>
        <w:t>După prezentarea Contractului de delegare a gestiunii conform cu Regulamentul (CE) nr. 1370/2007, b</w:t>
      </w:r>
      <w:r w:rsidR="00643577" w:rsidRPr="00643577">
        <w:rPr>
          <w:rFonts w:ascii="Trebuchet MS" w:eastAsia="Times New Roman" w:hAnsi="Trebuchet MS" w:cs="Times New Roman"/>
          <w:noProof w:val="0"/>
          <w:sz w:val="20"/>
          <w:szCs w:val="20"/>
        </w:rPr>
        <w:t>eneficiarul are obligaţia de a transmite anual la OI/AM, după aprobarea situaţiilor financiare ale solicitantului și Operatorului de transport public, un raport de audit, elaborat de un auditor financiar independent cu privire la conformitatea calculării compensaţiei cu mecanismul prevăzut în Regulamentul (CE) nr. 1370/2007.</w:t>
      </w:r>
    </w:p>
    <w:p w:rsidR="001129F8" w:rsidRPr="005C091D" w:rsidRDefault="00643577" w:rsidP="005C091D">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Liderul de parteneriat şi partenerii, membri ai unei Asociaţii de Dezvoltare Intercomunitară având ca scop serviciul de transport public de călători, care sunt beneficiari prin POR, Obiectivul Specific 4.1, de proiecte privind sistemele de transport public de călători în baza prevederilor art. 5 alin. (2), lit. b) din Regulamentul (CE) nr. 1370/2007, vor respecta prevederile art. 10, alin. (11) din Legea nr. 51/2006 republicată, cu modificările şi completările ulterioare.</w:t>
      </w:r>
    </w:p>
    <w:p w:rsidR="00643577" w:rsidRPr="00643577" w:rsidRDefault="00643577" w:rsidP="00643577">
      <w:pPr>
        <w:spacing w:before="120" w:after="120" w:line="240" w:lineRule="auto"/>
        <w:jc w:val="both"/>
        <w:rPr>
          <w:rFonts w:ascii="Trebuchet MS" w:eastAsia="Times New Roman" w:hAnsi="Trebuchet MS" w:cs="Times New Roman"/>
          <w:i/>
          <w:noProof w:val="0"/>
          <w:sz w:val="20"/>
          <w:szCs w:val="20"/>
        </w:rPr>
      </w:pPr>
      <w:r w:rsidRPr="00643577">
        <w:rPr>
          <w:rFonts w:ascii="Trebuchet MS" w:eastAsia="Times New Roman" w:hAnsi="Trebuchet MS" w:cs="Times New Roman"/>
          <w:i/>
          <w:noProof w:val="0"/>
          <w:sz w:val="20"/>
          <w:szCs w:val="20"/>
        </w:rPr>
        <w:t>(Pentru alte tipuri de proiecte, decât sistemele de transport public de călători )</w:t>
      </w:r>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Pe perioada de durabilitate, transmiterea dreptului de folosință/administrare asupra obiectelor/bunurilor realizate prin proiect către o terță parte se poate face numai printr-o procedură transparentă și nediscriminatorie, în condiţiile legii, cu respectarea prevederilor art. 107 din Tratatul privind Funcționarea Uniunii Europene, precum și cu respectarea condiției de ajustare corespunzătoare a finanțării nerambursabile acordate în cadrul contractului de finanțare în cazul proiectelor generatoare de venituri nete. Nerespectarea condiției de transmitere a dreptului de folosință/ administrare anterior menționat poate conduce la rezilierea și recuperarea finanțării acordate în conformitate cu prevederile prezentului contract.</w:t>
      </w:r>
    </w:p>
    <w:p w:rsidR="00643577" w:rsidRPr="00643577" w:rsidRDefault="00643577" w:rsidP="00643577">
      <w:pPr>
        <w:numPr>
          <w:ilvl w:val="0"/>
          <w:numId w:val="1"/>
        </w:numPr>
        <w:spacing w:before="120" w:after="120" w:line="240" w:lineRule="auto"/>
        <w:jc w:val="both"/>
        <w:rPr>
          <w:rFonts w:ascii="Trebuchet MS" w:eastAsia="Times New Roman" w:hAnsi="Trebuchet MS" w:cs="Times New Roman"/>
          <w:noProof w:val="0"/>
          <w:sz w:val="20"/>
          <w:szCs w:val="20"/>
        </w:rPr>
      </w:pPr>
      <w:r w:rsidRPr="00643577">
        <w:rPr>
          <w:rFonts w:ascii="Trebuchet MS" w:eastAsia="Times New Roman" w:hAnsi="Trebuchet MS" w:cs="Times New Roman"/>
          <w:noProof w:val="0"/>
          <w:sz w:val="20"/>
          <w:szCs w:val="20"/>
        </w:rPr>
        <w:t>Pe perioada de implementare (dacă este cazul) şi durabilitate a contractului de finanţare, în situaţia în care investițiile vor fi operate de către solicitant/serviciile de interes public local aflate în subordinea acestuia, veniturile colectate prin bilete/tarife nu vor depăşi 50% din cheltuielile de exploatare ale investiţiei ce face obiectul proiectului.</w:t>
      </w:r>
    </w:p>
    <w:p w:rsidR="000277EB" w:rsidRPr="00643577" w:rsidRDefault="000277EB" w:rsidP="00643577">
      <w:pPr>
        <w:jc w:val="both"/>
        <w:rPr>
          <w:rFonts w:ascii="Trebuchet MS" w:hAnsi="Trebuchet MS"/>
          <w:sz w:val="20"/>
          <w:szCs w:val="20"/>
        </w:rPr>
      </w:pPr>
    </w:p>
    <w:p w:rsidR="00643577" w:rsidRPr="00643577" w:rsidRDefault="00643577" w:rsidP="00643577">
      <w:pPr>
        <w:pStyle w:val="Heading1"/>
        <w:jc w:val="both"/>
        <w:rPr>
          <w:rFonts w:ascii="Trebuchet MS" w:hAnsi="Trebuchet MS" w:cs="Arial"/>
          <w:caps/>
          <w:sz w:val="20"/>
          <w:szCs w:val="20"/>
        </w:rPr>
      </w:pPr>
      <w:bookmarkStart w:id="3" w:name="_Toc468952569"/>
      <w:r w:rsidRPr="00643577">
        <w:rPr>
          <w:rFonts w:ascii="Trebuchet MS" w:hAnsi="Trebuchet MS" w:cs="Arial"/>
          <w:caps/>
          <w:sz w:val="20"/>
          <w:szCs w:val="20"/>
        </w:rPr>
        <w:t>Anexa 8 - Măsuri de informare și publicitate</w:t>
      </w:r>
      <w:bookmarkEnd w:id="3"/>
    </w:p>
    <w:p w:rsidR="00643577" w:rsidRPr="00643577" w:rsidRDefault="00643577" w:rsidP="00643577">
      <w:pPr>
        <w:jc w:val="both"/>
        <w:rPr>
          <w:rFonts w:ascii="Trebuchet MS" w:hAnsi="Trebuchet MS"/>
          <w:sz w:val="20"/>
          <w:szCs w:val="20"/>
        </w:rPr>
      </w:pPr>
      <w:r w:rsidRPr="00643577">
        <w:rPr>
          <w:rFonts w:ascii="Trebuchet MS" w:hAnsi="Trebuchet MS"/>
          <w:sz w:val="20"/>
          <w:szCs w:val="20"/>
        </w:rPr>
        <w:t>SECTIUNEA I - Reguli generale – cerinţe pentru toate proiectele</w:t>
      </w:r>
    </w:p>
    <w:p w:rsidR="00643577" w:rsidRPr="00643577" w:rsidRDefault="00643577" w:rsidP="00643577">
      <w:pPr>
        <w:jc w:val="both"/>
        <w:rPr>
          <w:rFonts w:ascii="Trebuchet MS" w:hAnsi="Trebuchet MS"/>
          <w:sz w:val="20"/>
          <w:szCs w:val="20"/>
        </w:rPr>
      </w:pPr>
      <w:r w:rsidRPr="00643577">
        <w:rPr>
          <w:rFonts w:ascii="Trebuchet MS" w:hAnsi="Trebuchet MS"/>
          <w:sz w:val="20"/>
          <w:szCs w:val="20"/>
        </w:rPr>
        <w:t>(18) Pentru activitatea de promovare a obiectivului de investiţie/produsului/serviciului finanţat, beneficiarul poate realiza următoarele materiale de informare şi comunicare, cu respectarea tuturor condiţiilor şi a specificaţiilor din Anexa 8 - Măsuri de informare și publicitate la contractul de finanţare: afișe, bannere, spoturi audio și video.</w:t>
      </w:r>
    </w:p>
    <w:p w:rsidR="00643577" w:rsidRPr="00643577" w:rsidRDefault="00643577" w:rsidP="00643577">
      <w:pPr>
        <w:jc w:val="both"/>
        <w:rPr>
          <w:rFonts w:ascii="Trebuchet MS" w:hAnsi="Trebuchet MS"/>
          <w:sz w:val="20"/>
          <w:szCs w:val="20"/>
        </w:rPr>
      </w:pPr>
    </w:p>
    <w:sectPr w:rsidR="00643577" w:rsidRPr="0064357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9A" w:rsidRDefault="0096349A" w:rsidP="009B0858">
      <w:pPr>
        <w:spacing w:after="0" w:line="240" w:lineRule="auto"/>
      </w:pPr>
      <w:r>
        <w:separator/>
      </w:r>
    </w:p>
  </w:endnote>
  <w:endnote w:type="continuationSeparator" w:id="0">
    <w:p w:rsidR="0096349A" w:rsidRDefault="0096349A" w:rsidP="009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9A" w:rsidRDefault="0096349A" w:rsidP="009B0858">
      <w:pPr>
        <w:spacing w:after="0" w:line="240" w:lineRule="auto"/>
      </w:pPr>
      <w:r>
        <w:separator/>
      </w:r>
    </w:p>
  </w:footnote>
  <w:footnote w:type="continuationSeparator" w:id="0">
    <w:p w:rsidR="0096349A" w:rsidRDefault="0096349A" w:rsidP="009B0858">
      <w:pPr>
        <w:spacing w:after="0" w:line="240" w:lineRule="auto"/>
      </w:pPr>
      <w:r>
        <w:continuationSeparator/>
      </w:r>
    </w:p>
  </w:footnote>
  <w:footnote w:id="1">
    <w:p w:rsidR="00643577" w:rsidRPr="00FE0A6B" w:rsidRDefault="00643577" w:rsidP="00643577">
      <w:pPr>
        <w:pStyle w:val="FootnoteText"/>
        <w:rPr>
          <w:lang w:val="en-US"/>
        </w:rPr>
      </w:pPr>
      <w:r>
        <w:rPr>
          <w:rStyle w:val="FootnoteReference"/>
        </w:rPr>
        <w:footnoteRef/>
      </w:r>
      <w:r>
        <w:t xml:space="preserve"> A</w:t>
      </w:r>
      <w:r w:rsidRPr="00FE0A6B">
        <w:t>rt. 44, alin. 4)</w:t>
      </w:r>
    </w:p>
  </w:footnote>
  <w:footnote w:id="2">
    <w:p w:rsidR="00E07B9A" w:rsidRPr="00E07B9A" w:rsidRDefault="00E07B9A">
      <w:pPr>
        <w:pStyle w:val="FootnoteText"/>
        <w:rPr>
          <w:lang w:val="en-US"/>
        </w:rPr>
      </w:pPr>
      <w:r>
        <w:rPr>
          <w:rStyle w:val="FootnoteReference"/>
        </w:rPr>
        <w:footnoteRef/>
      </w:r>
      <w:r>
        <w:t xml:space="preserve"> </w:t>
      </w:r>
      <w:r>
        <w:rPr>
          <w:lang w:val="en-US"/>
        </w:rPr>
        <w:t>Art 28, alin.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108" w:type="dxa"/>
      <w:tblBorders>
        <w:bottom w:val="single" w:sz="4" w:space="0" w:color="003366"/>
      </w:tblBorders>
      <w:tblLook w:val="0000" w:firstRow="0" w:lastRow="0" w:firstColumn="0" w:lastColumn="0" w:noHBand="0" w:noVBand="0"/>
    </w:tblPr>
    <w:tblGrid>
      <w:gridCol w:w="8041"/>
      <w:gridCol w:w="1156"/>
    </w:tblGrid>
    <w:tr w:rsidR="009B0858" w:rsidRPr="009B0858" w:rsidTr="00FC6C1A">
      <w:tc>
        <w:tcPr>
          <w:tcW w:w="8041" w:type="dxa"/>
          <w:tcBorders>
            <w:bottom w:val="single" w:sz="4" w:space="0" w:color="333333"/>
          </w:tcBorders>
        </w:tcPr>
        <w:p w:rsidR="009B0858" w:rsidRPr="009B0858" w:rsidRDefault="009B0858" w:rsidP="009B0858">
          <w:pPr>
            <w:tabs>
              <w:tab w:val="left" w:pos="5295"/>
            </w:tabs>
            <w:spacing w:after="0" w:line="240" w:lineRule="auto"/>
            <w:rPr>
              <w:rFonts w:ascii="Trebuchet MS" w:eastAsia="Times New Roman" w:hAnsi="Trebuchet MS" w:cs="Arial"/>
              <w:noProof w:val="0"/>
              <w:color w:val="333333"/>
              <w:sz w:val="14"/>
              <w:szCs w:val="24"/>
            </w:rPr>
          </w:pPr>
          <w:r w:rsidRPr="009B0858">
            <w:rPr>
              <w:rFonts w:ascii="Trebuchet MS" w:eastAsia="Times New Roman" w:hAnsi="Trebuchet MS" w:cs="Arial"/>
              <w:noProof w:val="0"/>
              <w:color w:val="333333"/>
              <w:sz w:val="14"/>
              <w:szCs w:val="24"/>
            </w:rPr>
            <w:t>Programul Operaţional Regional 2014-2020</w:t>
          </w:r>
          <w:r w:rsidRPr="009B0858">
            <w:rPr>
              <w:rFonts w:ascii="Trebuchet MS" w:eastAsia="Times New Roman" w:hAnsi="Trebuchet MS" w:cs="Arial"/>
              <w:noProof w:val="0"/>
              <w:color w:val="333333"/>
              <w:sz w:val="14"/>
              <w:szCs w:val="24"/>
            </w:rPr>
            <w:tab/>
          </w:r>
        </w:p>
        <w:p w:rsidR="009B0858" w:rsidRPr="009B0858" w:rsidRDefault="009B0858" w:rsidP="009B0858">
          <w:pPr>
            <w:tabs>
              <w:tab w:val="center" w:pos="4536"/>
              <w:tab w:val="right" w:pos="9072"/>
            </w:tabs>
            <w:spacing w:after="0" w:line="240" w:lineRule="auto"/>
            <w:rPr>
              <w:rFonts w:ascii="Trebuchet MS" w:eastAsia="Times New Roman" w:hAnsi="Trebuchet MS" w:cs="Arial"/>
              <w:noProof w:val="0"/>
              <w:color w:val="333333"/>
              <w:sz w:val="14"/>
              <w:szCs w:val="24"/>
            </w:rPr>
          </w:pPr>
        </w:p>
      </w:tc>
      <w:tc>
        <w:tcPr>
          <w:tcW w:w="1156" w:type="dxa"/>
          <w:tcBorders>
            <w:bottom w:val="single" w:sz="4" w:space="0" w:color="333333"/>
          </w:tcBorders>
        </w:tcPr>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noProof w:val="0"/>
              <w:color w:val="333333"/>
              <w:sz w:val="14"/>
              <w:szCs w:val="24"/>
            </w:rPr>
          </w:pPr>
        </w:p>
      </w:tc>
    </w:tr>
    <w:tr w:rsidR="009B0858" w:rsidRPr="009B0858" w:rsidTr="00FC6C1A">
      <w:trPr>
        <w:cantSplit/>
      </w:trPr>
      <w:tc>
        <w:tcPr>
          <w:tcW w:w="9197" w:type="dxa"/>
          <w:gridSpan w:val="2"/>
          <w:tcBorders>
            <w:top w:val="single" w:sz="4" w:space="0" w:color="333333"/>
            <w:bottom w:val="nil"/>
          </w:tcBorders>
        </w:tcPr>
        <w:p w:rsidR="009B0858" w:rsidRPr="009B0858" w:rsidRDefault="009B0858"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sidRPr="009B0858">
            <w:rPr>
              <w:rFonts w:ascii="Trebuchet MS" w:eastAsia="Times New Roman" w:hAnsi="Trebuchet MS" w:cs="Times New Roman"/>
              <w:b/>
              <w:bCs/>
              <w:noProof w:val="0"/>
              <w:color w:val="808080"/>
              <w:sz w:val="14"/>
              <w:szCs w:val="24"/>
            </w:rPr>
            <w:t xml:space="preserve">  Ghidul Solicitantului – Condițíi specifice de accesare a fondurilor în cadrul apelului de proiecte cu titlul POR/2017/4/4.1/1 </w:t>
          </w:r>
        </w:p>
      </w:tc>
    </w:tr>
    <w:tr w:rsidR="009B0858" w:rsidRPr="009B0858" w:rsidTr="00FC6C1A">
      <w:trPr>
        <w:cantSplit/>
      </w:trPr>
      <w:tc>
        <w:tcPr>
          <w:tcW w:w="9197" w:type="dxa"/>
          <w:gridSpan w:val="2"/>
          <w:tcBorders>
            <w:top w:val="nil"/>
            <w:bottom w:val="nil"/>
          </w:tcBorders>
        </w:tcPr>
        <w:p w:rsidR="009B0858" w:rsidRPr="009B0858" w:rsidRDefault="009B0858"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sidRPr="009B0858">
            <w:rPr>
              <w:rFonts w:ascii="Trebuchet MS" w:eastAsia="Times New Roman" w:hAnsi="Trebuchet MS" w:cs="Arial"/>
              <w:b/>
              <w:bCs/>
              <w:noProof w:val="0"/>
              <w:color w:val="333333"/>
              <w:sz w:val="14"/>
              <w:szCs w:val="24"/>
            </w:rPr>
            <w:t>Anexa 4.1.</w:t>
          </w:r>
          <w:r>
            <w:rPr>
              <w:rFonts w:ascii="Trebuchet MS" w:eastAsia="Times New Roman" w:hAnsi="Trebuchet MS" w:cs="Arial"/>
              <w:b/>
              <w:bCs/>
              <w:noProof w:val="0"/>
              <w:color w:val="333333"/>
              <w:sz w:val="14"/>
              <w:szCs w:val="24"/>
            </w:rPr>
            <w:t>5</w:t>
          </w:r>
          <w:r w:rsidRPr="009B0858">
            <w:rPr>
              <w:rFonts w:ascii="Trebuchet MS" w:eastAsia="Times New Roman" w:hAnsi="Trebuchet MS" w:cs="Arial"/>
              <w:b/>
              <w:bCs/>
              <w:noProof w:val="0"/>
              <w:color w:val="333333"/>
              <w:sz w:val="14"/>
              <w:szCs w:val="24"/>
            </w:rPr>
            <w:t>.</w:t>
          </w:r>
          <w:r>
            <w:rPr>
              <w:rFonts w:ascii="Trebuchet MS" w:eastAsia="Times New Roman" w:hAnsi="Trebuchet MS" w:cs="Arial"/>
              <w:b/>
              <w:bCs/>
              <w:noProof w:val="0"/>
              <w:color w:val="333333"/>
              <w:sz w:val="14"/>
              <w:szCs w:val="24"/>
            </w:rPr>
            <w:t>a</w:t>
          </w:r>
        </w:p>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b/>
              <w:bCs/>
              <w:noProof w:val="0"/>
              <w:color w:val="333333"/>
              <w:sz w:val="14"/>
              <w:szCs w:val="24"/>
            </w:rPr>
          </w:pPr>
          <w:r w:rsidRPr="009B0858">
            <w:rPr>
              <w:rFonts w:ascii="Trebuchet MS" w:eastAsia="Times New Roman" w:hAnsi="Trebuchet MS" w:cs="Arial"/>
              <w:b/>
              <w:bCs/>
              <w:noProof w:val="0"/>
              <w:color w:val="333333"/>
              <w:sz w:val="14"/>
              <w:szCs w:val="24"/>
            </w:rPr>
            <w:t xml:space="preserve"> </w:t>
          </w:r>
        </w:p>
      </w:tc>
    </w:tr>
  </w:tbl>
  <w:p w:rsidR="009B0858" w:rsidRDefault="009B0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F1DFF"/>
    <w:multiLevelType w:val="hybridMultilevel"/>
    <w:tmpl w:val="054C90F4"/>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1"/>
    <w:rsid w:val="000014A2"/>
    <w:rsid w:val="00002884"/>
    <w:rsid w:val="0000568B"/>
    <w:rsid w:val="00006A1E"/>
    <w:rsid w:val="00014528"/>
    <w:rsid w:val="0001670E"/>
    <w:rsid w:val="00020255"/>
    <w:rsid w:val="000277EB"/>
    <w:rsid w:val="000326C1"/>
    <w:rsid w:val="000443B5"/>
    <w:rsid w:val="00044ED2"/>
    <w:rsid w:val="000465BB"/>
    <w:rsid w:val="00053B1D"/>
    <w:rsid w:val="000577FC"/>
    <w:rsid w:val="0006318B"/>
    <w:rsid w:val="00063CF7"/>
    <w:rsid w:val="00064B02"/>
    <w:rsid w:val="00065CEC"/>
    <w:rsid w:val="0007409D"/>
    <w:rsid w:val="00075A4B"/>
    <w:rsid w:val="0008258D"/>
    <w:rsid w:val="0009030A"/>
    <w:rsid w:val="000940B1"/>
    <w:rsid w:val="0009434A"/>
    <w:rsid w:val="0009572F"/>
    <w:rsid w:val="00096AD0"/>
    <w:rsid w:val="00097988"/>
    <w:rsid w:val="000A0791"/>
    <w:rsid w:val="000A56C6"/>
    <w:rsid w:val="000A5912"/>
    <w:rsid w:val="000A74AF"/>
    <w:rsid w:val="000B7704"/>
    <w:rsid w:val="000C0954"/>
    <w:rsid w:val="000D3A24"/>
    <w:rsid w:val="000E3708"/>
    <w:rsid w:val="000E4412"/>
    <w:rsid w:val="000E582E"/>
    <w:rsid w:val="000E5A4E"/>
    <w:rsid w:val="000F11E3"/>
    <w:rsid w:val="000F410A"/>
    <w:rsid w:val="000F5835"/>
    <w:rsid w:val="001011C1"/>
    <w:rsid w:val="00102A40"/>
    <w:rsid w:val="00104E9C"/>
    <w:rsid w:val="001129F8"/>
    <w:rsid w:val="00117243"/>
    <w:rsid w:val="00125870"/>
    <w:rsid w:val="00134BE3"/>
    <w:rsid w:val="00136CA7"/>
    <w:rsid w:val="00136EEA"/>
    <w:rsid w:val="00141117"/>
    <w:rsid w:val="00141CE1"/>
    <w:rsid w:val="00150044"/>
    <w:rsid w:val="00160F25"/>
    <w:rsid w:val="00166095"/>
    <w:rsid w:val="001668BB"/>
    <w:rsid w:val="00171765"/>
    <w:rsid w:val="001760C7"/>
    <w:rsid w:val="00181295"/>
    <w:rsid w:val="00181EA8"/>
    <w:rsid w:val="0019115C"/>
    <w:rsid w:val="001A0846"/>
    <w:rsid w:val="001A15D0"/>
    <w:rsid w:val="001A2557"/>
    <w:rsid w:val="001A3ACA"/>
    <w:rsid w:val="001A5608"/>
    <w:rsid w:val="001B2EF0"/>
    <w:rsid w:val="001B395D"/>
    <w:rsid w:val="001B52B2"/>
    <w:rsid w:val="001C063A"/>
    <w:rsid w:val="001C384A"/>
    <w:rsid w:val="001C3D5D"/>
    <w:rsid w:val="001D0372"/>
    <w:rsid w:val="001D2321"/>
    <w:rsid w:val="001D285A"/>
    <w:rsid w:val="001D2AFB"/>
    <w:rsid w:val="001D4403"/>
    <w:rsid w:val="001D4E5C"/>
    <w:rsid w:val="001D5DC6"/>
    <w:rsid w:val="001E7F70"/>
    <w:rsid w:val="001F2B82"/>
    <w:rsid w:val="001F7875"/>
    <w:rsid w:val="00210971"/>
    <w:rsid w:val="002131AD"/>
    <w:rsid w:val="00214390"/>
    <w:rsid w:val="0021643E"/>
    <w:rsid w:val="002237A1"/>
    <w:rsid w:val="002311DC"/>
    <w:rsid w:val="00240612"/>
    <w:rsid w:val="00241308"/>
    <w:rsid w:val="00241B42"/>
    <w:rsid w:val="0024652D"/>
    <w:rsid w:val="00247135"/>
    <w:rsid w:val="00247466"/>
    <w:rsid w:val="00251C9B"/>
    <w:rsid w:val="00251F08"/>
    <w:rsid w:val="00253CA9"/>
    <w:rsid w:val="00256A15"/>
    <w:rsid w:val="002604BF"/>
    <w:rsid w:val="00261B85"/>
    <w:rsid w:val="00264E82"/>
    <w:rsid w:val="0026583D"/>
    <w:rsid w:val="00275F81"/>
    <w:rsid w:val="00282316"/>
    <w:rsid w:val="002831FB"/>
    <w:rsid w:val="0028344C"/>
    <w:rsid w:val="00290777"/>
    <w:rsid w:val="00294B74"/>
    <w:rsid w:val="00294F83"/>
    <w:rsid w:val="00295A24"/>
    <w:rsid w:val="00295CFC"/>
    <w:rsid w:val="002A16B8"/>
    <w:rsid w:val="002A467B"/>
    <w:rsid w:val="002A4FEB"/>
    <w:rsid w:val="002B0A27"/>
    <w:rsid w:val="002B1EA3"/>
    <w:rsid w:val="002B3361"/>
    <w:rsid w:val="002C0079"/>
    <w:rsid w:val="002C1F5C"/>
    <w:rsid w:val="002C60D7"/>
    <w:rsid w:val="002C7B8F"/>
    <w:rsid w:val="002D31F1"/>
    <w:rsid w:val="002D52C7"/>
    <w:rsid w:val="002D67C0"/>
    <w:rsid w:val="002D72BC"/>
    <w:rsid w:val="002D791B"/>
    <w:rsid w:val="002E087B"/>
    <w:rsid w:val="002E3904"/>
    <w:rsid w:val="002E48D8"/>
    <w:rsid w:val="002F3B5E"/>
    <w:rsid w:val="00301DDD"/>
    <w:rsid w:val="00302280"/>
    <w:rsid w:val="00305247"/>
    <w:rsid w:val="00310526"/>
    <w:rsid w:val="003151C2"/>
    <w:rsid w:val="003160A1"/>
    <w:rsid w:val="003160E8"/>
    <w:rsid w:val="003211B5"/>
    <w:rsid w:val="00321A4E"/>
    <w:rsid w:val="00336B0E"/>
    <w:rsid w:val="00346FE6"/>
    <w:rsid w:val="0035119E"/>
    <w:rsid w:val="00355C5A"/>
    <w:rsid w:val="00356D65"/>
    <w:rsid w:val="0036484A"/>
    <w:rsid w:val="00367437"/>
    <w:rsid w:val="003738F8"/>
    <w:rsid w:val="00374F50"/>
    <w:rsid w:val="003769F5"/>
    <w:rsid w:val="003804CB"/>
    <w:rsid w:val="0038098F"/>
    <w:rsid w:val="0038288F"/>
    <w:rsid w:val="003841AD"/>
    <w:rsid w:val="0039184D"/>
    <w:rsid w:val="00392A64"/>
    <w:rsid w:val="00396FB1"/>
    <w:rsid w:val="00397200"/>
    <w:rsid w:val="003972EC"/>
    <w:rsid w:val="003A3917"/>
    <w:rsid w:val="003A3BFF"/>
    <w:rsid w:val="003A45C2"/>
    <w:rsid w:val="003A63A7"/>
    <w:rsid w:val="003A7131"/>
    <w:rsid w:val="003B3859"/>
    <w:rsid w:val="003B483E"/>
    <w:rsid w:val="003B4BA8"/>
    <w:rsid w:val="003B6A61"/>
    <w:rsid w:val="003C0A88"/>
    <w:rsid w:val="003C1304"/>
    <w:rsid w:val="003C3EED"/>
    <w:rsid w:val="003C4591"/>
    <w:rsid w:val="003C5308"/>
    <w:rsid w:val="003C7249"/>
    <w:rsid w:val="003D0A04"/>
    <w:rsid w:val="003D16A0"/>
    <w:rsid w:val="003D3EB1"/>
    <w:rsid w:val="003D4690"/>
    <w:rsid w:val="003D744E"/>
    <w:rsid w:val="003F714A"/>
    <w:rsid w:val="003F7569"/>
    <w:rsid w:val="00401BC3"/>
    <w:rsid w:val="0041053E"/>
    <w:rsid w:val="00413968"/>
    <w:rsid w:val="00413D33"/>
    <w:rsid w:val="00414246"/>
    <w:rsid w:val="004147D0"/>
    <w:rsid w:val="004151E7"/>
    <w:rsid w:val="00420049"/>
    <w:rsid w:val="00420F11"/>
    <w:rsid w:val="004277D1"/>
    <w:rsid w:val="00427B15"/>
    <w:rsid w:val="00432965"/>
    <w:rsid w:val="00434D9E"/>
    <w:rsid w:val="0043733F"/>
    <w:rsid w:val="0044028D"/>
    <w:rsid w:val="004425B0"/>
    <w:rsid w:val="00442FC1"/>
    <w:rsid w:val="00454E0B"/>
    <w:rsid w:val="00460D42"/>
    <w:rsid w:val="00462555"/>
    <w:rsid w:val="004665C6"/>
    <w:rsid w:val="00472661"/>
    <w:rsid w:val="0047344D"/>
    <w:rsid w:val="00474169"/>
    <w:rsid w:val="00480E9C"/>
    <w:rsid w:val="00491B73"/>
    <w:rsid w:val="004941A7"/>
    <w:rsid w:val="00495F3E"/>
    <w:rsid w:val="004A0DD0"/>
    <w:rsid w:val="004A3D54"/>
    <w:rsid w:val="004B18A0"/>
    <w:rsid w:val="004B1F27"/>
    <w:rsid w:val="004B3BC6"/>
    <w:rsid w:val="004B7F88"/>
    <w:rsid w:val="004C106B"/>
    <w:rsid w:val="004C1F41"/>
    <w:rsid w:val="004C2C9E"/>
    <w:rsid w:val="004C2D6D"/>
    <w:rsid w:val="004C3D19"/>
    <w:rsid w:val="004C65F3"/>
    <w:rsid w:val="004D0D45"/>
    <w:rsid w:val="004D2D19"/>
    <w:rsid w:val="004E01FD"/>
    <w:rsid w:val="004E3B9D"/>
    <w:rsid w:val="004F168B"/>
    <w:rsid w:val="004F3DC9"/>
    <w:rsid w:val="004F4C75"/>
    <w:rsid w:val="004F7C6A"/>
    <w:rsid w:val="00504A67"/>
    <w:rsid w:val="00506499"/>
    <w:rsid w:val="005065AE"/>
    <w:rsid w:val="00506B10"/>
    <w:rsid w:val="00531062"/>
    <w:rsid w:val="00531945"/>
    <w:rsid w:val="005337FC"/>
    <w:rsid w:val="00533AA3"/>
    <w:rsid w:val="00535B16"/>
    <w:rsid w:val="00541AC6"/>
    <w:rsid w:val="00541F5A"/>
    <w:rsid w:val="0055125E"/>
    <w:rsid w:val="00554B8A"/>
    <w:rsid w:val="00555C92"/>
    <w:rsid w:val="005647D1"/>
    <w:rsid w:val="005727F1"/>
    <w:rsid w:val="005744DC"/>
    <w:rsid w:val="00576DC7"/>
    <w:rsid w:val="0058333E"/>
    <w:rsid w:val="005838EB"/>
    <w:rsid w:val="00590E3C"/>
    <w:rsid w:val="005964EB"/>
    <w:rsid w:val="005A28D8"/>
    <w:rsid w:val="005A6457"/>
    <w:rsid w:val="005A7418"/>
    <w:rsid w:val="005B0CD6"/>
    <w:rsid w:val="005B1DB7"/>
    <w:rsid w:val="005B30EA"/>
    <w:rsid w:val="005B34D8"/>
    <w:rsid w:val="005B5D56"/>
    <w:rsid w:val="005B6B2C"/>
    <w:rsid w:val="005C091D"/>
    <w:rsid w:val="005C130A"/>
    <w:rsid w:val="005C68F3"/>
    <w:rsid w:val="005C6B99"/>
    <w:rsid w:val="005C710B"/>
    <w:rsid w:val="005D22F9"/>
    <w:rsid w:val="005D7997"/>
    <w:rsid w:val="005D7B41"/>
    <w:rsid w:val="005E18D6"/>
    <w:rsid w:val="005E1F76"/>
    <w:rsid w:val="005E39EC"/>
    <w:rsid w:val="005E64D1"/>
    <w:rsid w:val="005F23CA"/>
    <w:rsid w:val="005F3508"/>
    <w:rsid w:val="005F456E"/>
    <w:rsid w:val="005F7569"/>
    <w:rsid w:val="00601CC7"/>
    <w:rsid w:val="00604099"/>
    <w:rsid w:val="0060670B"/>
    <w:rsid w:val="00607571"/>
    <w:rsid w:val="00617AF9"/>
    <w:rsid w:val="00617C32"/>
    <w:rsid w:val="006273C2"/>
    <w:rsid w:val="0063107B"/>
    <w:rsid w:val="00632C57"/>
    <w:rsid w:val="00633AAE"/>
    <w:rsid w:val="00642B94"/>
    <w:rsid w:val="00643320"/>
    <w:rsid w:val="00643577"/>
    <w:rsid w:val="00644E3E"/>
    <w:rsid w:val="00650242"/>
    <w:rsid w:val="00651A2B"/>
    <w:rsid w:val="006565E6"/>
    <w:rsid w:val="00665FC1"/>
    <w:rsid w:val="0067014D"/>
    <w:rsid w:val="00674273"/>
    <w:rsid w:val="00677D2F"/>
    <w:rsid w:val="0068021E"/>
    <w:rsid w:val="006848C1"/>
    <w:rsid w:val="00686B92"/>
    <w:rsid w:val="0068737B"/>
    <w:rsid w:val="0069033E"/>
    <w:rsid w:val="00690853"/>
    <w:rsid w:val="00690B9D"/>
    <w:rsid w:val="0069270B"/>
    <w:rsid w:val="00694438"/>
    <w:rsid w:val="006A19B2"/>
    <w:rsid w:val="006A1F1E"/>
    <w:rsid w:val="006A69FD"/>
    <w:rsid w:val="006B15A8"/>
    <w:rsid w:val="006B2E6E"/>
    <w:rsid w:val="006B3E6A"/>
    <w:rsid w:val="006C3431"/>
    <w:rsid w:val="006D149E"/>
    <w:rsid w:val="006D6E85"/>
    <w:rsid w:val="006E562A"/>
    <w:rsid w:val="006F38DF"/>
    <w:rsid w:val="007040C3"/>
    <w:rsid w:val="0070746D"/>
    <w:rsid w:val="00715773"/>
    <w:rsid w:val="007176AD"/>
    <w:rsid w:val="00717E6B"/>
    <w:rsid w:val="00723473"/>
    <w:rsid w:val="00723DB2"/>
    <w:rsid w:val="007241C1"/>
    <w:rsid w:val="00734D2C"/>
    <w:rsid w:val="00735AC4"/>
    <w:rsid w:val="0074293E"/>
    <w:rsid w:val="0074575F"/>
    <w:rsid w:val="007467DF"/>
    <w:rsid w:val="00754E70"/>
    <w:rsid w:val="00756A37"/>
    <w:rsid w:val="00766F1E"/>
    <w:rsid w:val="00770104"/>
    <w:rsid w:val="007704DB"/>
    <w:rsid w:val="00770881"/>
    <w:rsid w:val="00771A12"/>
    <w:rsid w:val="007722C5"/>
    <w:rsid w:val="00774516"/>
    <w:rsid w:val="007826B7"/>
    <w:rsid w:val="00783572"/>
    <w:rsid w:val="007850FD"/>
    <w:rsid w:val="007866CF"/>
    <w:rsid w:val="00786D21"/>
    <w:rsid w:val="00786DA8"/>
    <w:rsid w:val="00792136"/>
    <w:rsid w:val="00795BED"/>
    <w:rsid w:val="00795C45"/>
    <w:rsid w:val="007A0ABB"/>
    <w:rsid w:val="007B1DC0"/>
    <w:rsid w:val="007B7B32"/>
    <w:rsid w:val="007B7C5D"/>
    <w:rsid w:val="007B7E23"/>
    <w:rsid w:val="007D0206"/>
    <w:rsid w:val="007D110D"/>
    <w:rsid w:val="007D3309"/>
    <w:rsid w:val="007D72E0"/>
    <w:rsid w:val="007E048F"/>
    <w:rsid w:val="007E142A"/>
    <w:rsid w:val="007E223B"/>
    <w:rsid w:val="007E3C67"/>
    <w:rsid w:val="007E3F29"/>
    <w:rsid w:val="007E4080"/>
    <w:rsid w:val="007E5718"/>
    <w:rsid w:val="007E7296"/>
    <w:rsid w:val="007F26A1"/>
    <w:rsid w:val="007F4310"/>
    <w:rsid w:val="007F5407"/>
    <w:rsid w:val="00800414"/>
    <w:rsid w:val="00801362"/>
    <w:rsid w:val="008015C1"/>
    <w:rsid w:val="00801C98"/>
    <w:rsid w:val="00814B10"/>
    <w:rsid w:val="008164D1"/>
    <w:rsid w:val="00821E34"/>
    <w:rsid w:val="008225E0"/>
    <w:rsid w:val="00830E44"/>
    <w:rsid w:val="0083196C"/>
    <w:rsid w:val="00831C7A"/>
    <w:rsid w:val="00833526"/>
    <w:rsid w:val="00836DA7"/>
    <w:rsid w:val="0083708C"/>
    <w:rsid w:val="00837792"/>
    <w:rsid w:val="00841CA2"/>
    <w:rsid w:val="00842905"/>
    <w:rsid w:val="0085197E"/>
    <w:rsid w:val="008556A3"/>
    <w:rsid w:val="00861F65"/>
    <w:rsid w:val="008638C0"/>
    <w:rsid w:val="00864650"/>
    <w:rsid w:val="008654F5"/>
    <w:rsid w:val="00865956"/>
    <w:rsid w:val="008665D3"/>
    <w:rsid w:val="0087689C"/>
    <w:rsid w:val="00877747"/>
    <w:rsid w:val="00881954"/>
    <w:rsid w:val="00884786"/>
    <w:rsid w:val="0088541A"/>
    <w:rsid w:val="008857E3"/>
    <w:rsid w:val="00886B4B"/>
    <w:rsid w:val="00887398"/>
    <w:rsid w:val="008904C4"/>
    <w:rsid w:val="00895FFE"/>
    <w:rsid w:val="00897061"/>
    <w:rsid w:val="008A603C"/>
    <w:rsid w:val="008A7387"/>
    <w:rsid w:val="008C4A2C"/>
    <w:rsid w:val="008C6B09"/>
    <w:rsid w:val="008D378B"/>
    <w:rsid w:val="008D49BB"/>
    <w:rsid w:val="008D4E84"/>
    <w:rsid w:val="008E175C"/>
    <w:rsid w:val="008E2516"/>
    <w:rsid w:val="008E5E02"/>
    <w:rsid w:val="008E65E2"/>
    <w:rsid w:val="008E6C18"/>
    <w:rsid w:val="008E7700"/>
    <w:rsid w:val="008F0BCA"/>
    <w:rsid w:val="008F135F"/>
    <w:rsid w:val="008F2B14"/>
    <w:rsid w:val="008F2F43"/>
    <w:rsid w:val="008F3226"/>
    <w:rsid w:val="008F3A0C"/>
    <w:rsid w:val="008F4910"/>
    <w:rsid w:val="00901C46"/>
    <w:rsid w:val="00901C5F"/>
    <w:rsid w:val="009037BA"/>
    <w:rsid w:val="00905E5C"/>
    <w:rsid w:val="00907F07"/>
    <w:rsid w:val="00910799"/>
    <w:rsid w:val="00911423"/>
    <w:rsid w:val="009121CC"/>
    <w:rsid w:val="00914AA0"/>
    <w:rsid w:val="00916B98"/>
    <w:rsid w:val="00916BB8"/>
    <w:rsid w:val="009176C8"/>
    <w:rsid w:val="009211DF"/>
    <w:rsid w:val="00926CAA"/>
    <w:rsid w:val="009307AC"/>
    <w:rsid w:val="0093250C"/>
    <w:rsid w:val="009341D0"/>
    <w:rsid w:val="00934E42"/>
    <w:rsid w:val="00940638"/>
    <w:rsid w:val="00941CBA"/>
    <w:rsid w:val="00942A43"/>
    <w:rsid w:val="0094785F"/>
    <w:rsid w:val="009602D0"/>
    <w:rsid w:val="0096349A"/>
    <w:rsid w:val="00963FEE"/>
    <w:rsid w:val="00965BCD"/>
    <w:rsid w:val="00970257"/>
    <w:rsid w:val="00980D01"/>
    <w:rsid w:val="00982BA8"/>
    <w:rsid w:val="00984204"/>
    <w:rsid w:val="00986519"/>
    <w:rsid w:val="00990019"/>
    <w:rsid w:val="00995135"/>
    <w:rsid w:val="00996699"/>
    <w:rsid w:val="00996E00"/>
    <w:rsid w:val="00996E97"/>
    <w:rsid w:val="009A333C"/>
    <w:rsid w:val="009A3FDD"/>
    <w:rsid w:val="009A74A5"/>
    <w:rsid w:val="009B0858"/>
    <w:rsid w:val="009C01FE"/>
    <w:rsid w:val="009C27A1"/>
    <w:rsid w:val="009C6827"/>
    <w:rsid w:val="009D125E"/>
    <w:rsid w:val="009D2F55"/>
    <w:rsid w:val="009D551F"/>
    <w:rsid w:val="009D7EC4"/>
    <w:rsid w:val="009E405A"/>
    <w:rsid w:val="009E600B"/>
    <w:rsid w:val="009F01B0"/>
    <w:rsid w:val="009F0F05"/>
    <w:rsid w:val="009F5352"/>
    <w:rsid w:val="009F6B8B"/>
    <w:rsid w:val="00A02ABE"/>
    <w:rsid w:val="00A10216"/>
    <w:rsid w:val="00A12589"/>
    <w:rsid w:val="00A14CA7"/>
    <w:rsid w:val="00A153B5"/>
    <w:rsid w:val="00A17AF8"/>
    <w:rsid w:val="00A22A9B"/>
    <w:rsid w:val="00A23D5A"/>
    <w:rsid w:val="00A254F2"/>
    <w:rsid w:val="00A27E76"/>
    <w:rsid w:val="00A30DE7"/>
    <w:rsid w:val="00A31971"/>
    <w:rsid w:val="00A3582A"/>
    <w:rsid w:val="00A41103"/>
    <w:rsid w:val="00A41500"/>
    <w:rsid w:val="00A46726"/>
    <w:rsid w:val="00A515FA"/>
    <w:rsid w:val="00A56379"/>
    <w:rsid w:val="00A63105"/>
    <w:rsid w:val="00A631D5"/>
    <w:rsid w:val="00A704FF"/>
    <w:rsid w:val="00A730EE"/>
    <w:rsid w:val="00A85C6A"/>
    <w:rsid w:val="00A916E9"/>
    <w:rsid w:val="00A9627F"/>
    <w:rsid w:val="00A976ED"/>
    <w:rsid w:val="00AA0FAE"/>
    <w:rsid w:val="00AA674C"/>
    <w:rsid w:val="00AB2BFC"/>
    <w:rsid w:val="00AB5974"/>
    <w:rsid w:val="00AB7BF8"/>
    <w:rsid w:val="00AC605A"/>
    <w:rsid w:val="00AD642D"/>
    <w:rsid w:val="00AD7951"/>
    <w:rsid w:val="00AE200C"/>
    <w:rsid w:val="00AE30CD"/>
    <w:rsid w:val="00AE3636"/>
    <w:rsid w:val="00AE3B78"/>
    <w:rsid w:val="00AF01D8"/>
    <w:rsid w:val="00AF1D72"/>
    <w:rsid w:val="00AF36B0"/>
    <w:rsid w:val="00AF5BBE"/>
    <w:rsid w:val="00B021A5"/>
    <w:rsid w:val="00B0248F"/>
    <w:rsid w:val="00B04BD2"/>
    <w:rsid w:val="00B128DA"/>
    <w:rsid w:val="00B1334E"/>
    <w:rsid w:val="00B1409E"/>
    <w:rsid w:val="00B25390"/>
    <w:rsid w:val="00B34672"/>
    <w:rsid w:val="00B3544B"/>
    <w:rsid w:val="00B47E5F"/>
    <w:rsid w:val="00B524D5"/>
    <w:rsid w:val="00B56430"/>
    <w:rsid w:val="00B564ED"/>
    <w:rsid w:val="00B578AE"/>
    <w:rsid w:val="00B63524"/>
    <w:rsid w:val="00B63A99"/>
    <w:rsid w:val="00B67CEC"/>
    <w:rsid w:val="00B67EB5"/>
    <w:rsid w:val="00B763D7"/>
    <w:rsid w:val="00B80216"/>
    <w:rsid w:val="00B80289"/>
    <w:rsid w:val="00B80DE7"/>
    <w:rsid w:val="00B82C14"/>
    <w:rsid w:val="00B836B8"/>
    <w:rsid w:val="00B9578C"/>
    <w:rsid w:val="00B95E5E"/>
    <w:rsid w:val="00BA1969"/>
    <w:rsid w:val="00BA20C5"/>
    <w:rsid w:val="00BA4083"/>
    <w:rsid w:val="00BB1C26"/>
    <w:rsid w:val="00BB24EC"/>
    <w:rsid w:val="00BB26E6"/>
    <w:rsid w:val="00BB43B5"/>
    <w:rsid w:val="00BB54DA"/>
    <w:rsid w:val="00BB7508"/>
    <w:rsid w:val="00BC04CD"/>
    <w:rsid w:val="00BC0E2D"/>
    <w:rsid w:val="00BC523E"/>
    <w:rsid w:val="00BD1A38"/>
    <w:rsid w:val="00BD2968"/>
    <w:rsid w:val="00BD2FD4"/>
    <w:rsid w:val="00BE5771"/>
    <w:rsid w:val="00BF0B28"/>
    <w:rsid w:val="00BF149C"/>
    <w:rsid w:val="00BF5646"/>
    <w:rsid w:val="00BF569F"/>
    <w:rsid w:val="00C04F0E"/>
    <w:rsid w:val="00C05B20"/>
    <w:rsid w:val="00C10C2E"/>
    <w:rsid w:val="00C125F3"/>
    <w:rsid w:val="00C147AF"/>
    <w:rsid w:val="00C15458"/>
    <w:rsid w:val="00C2031C"/>
    <w:rsid w:val="00C219BC"/>
    <w:rsid w:val="00C23C5D"/>
    <w:rsid w:val="00C24A06"/>
    <w:rsid w:val="00C25E5C"/>
    <w:rsid w:val="00C275BD"/>
    <w:rsid w:val="00C31596"/>
    <w:rsid w:val="00C34DF2"/>
    <w:rsid w:val="00C414FC"/>
    <w:rsid w:val="00C421AA"/>
    <w:rsid w:val="00C4320E"/>
    <w:rsid w:val="00C52398"/>
    <w:rsid w:val="00C5323E"/>
    <w:rsid w:val="00C54D54"/>
    <w:rsid w:val="00C5799E"/>
    <w:rsid w:val="00C60359"/>
    <w:rsid w:val="00C63D22"/>
    <w:rsid w:val="00C649C7"/>
    <w:rsid w:val="00C6745B"/>
    <w:rsid w:val="00C71EA3"/>
    <w:rsid w:val="00C72DA6"/>
    <w:rsid w:val="00C76171"/>
    <w:rsid w:val="00C76361"/>
    <w:rsid w:val="00C77AEA"/>
    <w:rsid w:val="00C92F15"/>
    <w:rsid w:val="00C94E75"/>
    <w:rsid w:val="00CA2D4B"/>
    <w:rsid w:val="00CA36DC"/>
    <w:rsid w:val="00CB4180"/>
    <w:rsid w:val="00CB7F25"/>
    <w:rsid w:val="00CC0211"/>
    <w:rsid w:val="00CC1C20"/>
    <w:rsid w:val="00CC5CB3"/>
    <w:rsid w:val="00CC5F31"/>
    <w:rsid w:val="00CC6323"/>
    <w:rsid w:val="00CC66C6"/>
    <w:rsid w:val="00CD4552"/>
    <w:rsid w:val="00CD5576"/>
    <w:rsid w:val="00CD772B"/>
    <w:rsid w:val="00CE3171"/>
    <w:rsid w:val="00CE3D4F"/>
    <w:rsid w:val="00CE6B61"/>
    <w:rsid w:val="00CF0956"/>
    <w:rsid w:val="00CF3752"/>
    <w:rsid w:val="00CF4637"/>
    <w:rsid w:val="00CF5094"/>
    <w:rsid w:val="00D046EA"/>
    <w:rsid w:val="00D04C27"/>
    <w:rsid w:val="00D0537F"/>
    <w:rsid w:val="00D11C2E"/>
    <w:rsid w:val="00D22BC7"/>
    <w:rsid w:val="00D26361"/>
    <w:rsid w:val="00D27B5C"/>
    <w:rsid w:val="00D41218"/>
    <w:rsid w:val="00D4121F"/>
    <w:rsid w:val="00D41DEF"/>
    <w:rsid w:val="00D434E9"/>
    <w:rsid w:val="00D436F8"/>
    <w:rsid w:val="00D439A5"/>
    <w:rsid w:val="00D457F2"/>
    <w:rsid w:val="00D45A15"/>
    <w:rsid w:val="00D51A32"/>
    <w:rsid w:val="00D52272"/>
    <w:rsid w:val="00D53CCB"/>
    <w:rsid w:val="00D56057"/>
    <w:rsid w:val="00D57504"/>
    <w:rsid w:val="00D65179"/>
    <w:rsid w:val="00D6562A"/>
    <w:rsid w:val="00D65F8B"/>
    <w:rsid w:val="00D67B98"/>
    <w:rsid w:val="00D71CF0"/>
    <w:rsid w:val="00D71D76"/>
    <w:rsid w:val="00D72616"/>
    <w:rsid w:val="00D7506F"/>
    <w:rsid w:val="00D800CC"/>
    <w:rsid w:val="00D808B1"/>
    <w:rsid w:val="00D85C89"/>
    <w:rsid w:val="00D900DB"/>
    <w:rsid w:val="00D925DD"/>
    <w:rsid w:val="00DB292D"/>
    <w:rsid w:val="00DB5580"/>
    <w:rsid w:val="00DB63FC"/>
    <w:rsid w:val="00DB7E5F"/>
    <w:rsid w:val="00DC0277"/>
    <w:rsid w:val="00DC0B28"/>
    <w:rsid w:val="00DC7B51"/>
    <w:rsid w:val="00DE15F5"/>
    <w:rsid w:val="00DE75C0"/>
    <w:rsid w:val="00E00AFF"/>
    <w:rsid w:val="00E00B6C"/>
    <w:rsid w:val="00E03BA1"/>
    <w:rsid w:val="00E068C9"/>
    <w:rsid w:val="00E07B9A"/>
    <w:rsid w:val="00E108E5"/>
    <w:rsid w:val="00E11C97"/>
    <w:rsid w:val="00E12990"/>
    <w:rsid w:val="00E1617B"/>
    <w:rsid w:val="00E20A38"/>
    <w:rsid w:val="00E30DEA"/>
    <w:rsid w:val="00E364BB"/>
    <w:rsid w:val="00E43FAB"/>
    <w:rsid w:val="00E557A3"/>
    <w:rsid w:val="00E566D6"/>
    <w:rsid w:val="00E57C46"/>
    <w:rsid w:val="00E608CD"/>
    <w:rsid w:val="00E61D74"/>
    <w:rsid w:val="00E6293D"/>
    <w:rsid w:val="00E65A49"/>
    <w:rsid w:val="00E66267"/>
    <w:rsid w:val="00E70BCC"/>
    <w:rsid w:val="00E7281D"/>
    <w:rsid w:val="00E73722"/>
    <w:rsid w:val="00E80218"/>
    <w:rsid w:val="00E808F1"/>
    <w:rsid w:val="00E81F67"/>
    <w:rsid w:val="00E82671"/>
    <w:rsid w:val="00E83172"/>
    <w:rsid w:val="00E91296"/>
    <w:rsid w:val="00E95152"/>
    <w:rsid w:val="00E95B8E"/>
    <w:rsid w:val="00EA1E27"/>
    <w:rsid w:val="00EA2106"/>
    <w:rsid w:val="00EA5BBA"/>
    <w:rsid w:val="00EA6DC9"/>
    <w:rsid w:val="00EB17F4"/>
    <w:rsid w:val="00EB402E"/>
    <w:rsid w:val="00EB4576"/>
    <w:rsid w:val="00EB5362"/>
    <w:rsid w:val="00EB6BD8"/>
    <w:rsid w:val="00EC0894"/>
    <w:rsid w:val="00EC3E62"/>
    <w:rsid w:val="00ED1797"/>
    <w:rsid w:val="00ED1B18"/>
    <w:rsid w:val="00ED2095"/>
    <w:rsid w:val="00EE5FBB"/>
    <w:rsid w:val="00EF0EE7"/>
    <w:rsid w:val="00EF15AD"/>
    <w:rsid w:val="00EF30C3"/>
    <w:rsid w:val="00EF3A68"/>
    <w:rsid w:val="00EF40CC"/>
    <w:rsid w:val="00EF55C2"/>
    <w:rsid w:val="00F02945"/>
    <w:rsid w:val="00F04B42"/>
    <w:rsid w:val="00F10662"/>
    <w:rsid w:val="00F13312"/>
    <w:rsid w:val="00F15B3A"/>
    <w:rsid w:val="00F222BB"/>
    <w:rsid w:val="00F349E0"/>
    <w:rsid w:val="00F34F8A"/>
    <w:rsid w:val="00F43413"/>
    <w:rsid w:val="00F44A20"/>
    <w:rsid w:val="00F46FDF"/>
    <w:rsid w:val="00F508E1"/>
    <w:rsid w:val="00F577F0"/>
    <w:rsid w:val="00F609B8"/>
    <w:rsid w:val="00F65618"/>
    <w:rsid w:val="00F67953"/>
    <w:rsid w:val="00F71271"/>
    <w:rsid w:val="00F832C5"/>
    <w:rsid w:val="00F8420F"/>
    <w:rsid w:val="00F97209"/>
    <w:rsid w:val="00F97E2C"/>
    <w:rsid w:val="00FA5C72"/>
    <w:rsid w:val="00FA60AB"/>
    <w:rsid w:val="00FB17E2"/>
    <w:rsid w:val="00FB39B7"/>
    <w:rsid w:val="00FB44C1"/>
    <w:rsid w:val="00FC2AC0"/>
    <w:rsid w:val="00FC47D6"/>
    <w:rsid w:val="00FD30E3"/>
    <w:rsid w:val="00FE2CCC"/>
    <w:rsid w:val="00FE77A9"/>
    <w:rsid w:val="00FF48CE"/>
    <w:rsid w:val="00FF4BFA"/>
    <w:rsid w:val="00FF70C6"/>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83D2-ABEE-45F8-BEEF-C6F96818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1095</Words>
  <Characters>6357</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Tiplic</dc:creator>
  <cp:keywords/>
  <dc:description/>
  <cp:lastModifiedBy>Amalia Tiplic</cp:lastModifiedBy>
  <cp:revision>21</cp:revision>
  <dcterms:created xsi:type="dcterms:W3CDTF">2017-02-14T12:19:00Z</dcterms:created>
  <dcterms:modified xsi:type="dcterms:W3CDTF">2017-03-14T10:48:00Z</dcterms:modified>
</cp:coreProperties>
</file>