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D6" w:rsidRDefault="004955D6"/>
    <w:p w:rsidR="004955D6" w:rsidRPr="004955D6" w:rsidRDefault="004955D6" w:rsidP="004955D6">
      <w:pPr>
        <w:spacing w:before="120" w:after="0" w:line="240" w:lineRule="auto"/>
        <w:jc w:val="center"/>
        <w:rPr>
          <w:rFonts w:ascii="Trebuchet MS" w:eastAsia="Times New Roman" w:hAnsi="Trebuchet MS" w:cs="Times New Roman"/>
          <w:b/>
          <w:noProof w:val="0"/>
        </w:rPr>
      </w:pPr>
      <w:r w:rsidRPr="004955D6">
        <w:rPr>
          <w:rFonts w:ascii="Trebuchet MS" w:eastAsia="Times New Roman" w:hAnsi="Trebuchet MS" w:cs="Times New Roman"/>
          <w:b/>
          <w:noProof w:val="0"/>
        </w:rPr>
        <w:t>Consideraţii generale privind ajutorul de stat</w:t>
      </w:r>
      <w:r w:rsidRPr="004955D6">
        <w:rPr>
          <w:rFonts w:ascii="Trebuchet MS" w:hAnsi="Trebuchet MS"/>
        </w:rPr>
        <w:t xml:space="preserve"> </w:t>
      </w:r>
      <w:r w:rsidRPr="004955D6">
        <w:rPr>
          <w:rFonts w:ascii="Trebuchet MS" w:hAnsi="Trebuchet MS"/>
          <w:b/>
        </w:rPr>
        <w:t xml:space="preserve">în domeniul </w:t>
      </w:r>
      <w:r w:rsidR="00033D43">
        <w:rPr>
          <w:rFonts w:ascii="Trebuchet MS" w:hAnsi="Trebuchet MS"/>
          <w:b/>
        </w:rPr>
        <w:t xml:space="preserve">serviciului de </w:t>
      </w:r>
      <w:r w:rsidRPr="004955D6">
        <w:rPr>
          <w:rFonts w:ascii="Trebuchet MS" w:eastAsia="Times New Roman" w:hAnsi="Trebuchet MS" w:cs="Times New Roman"/>
          <w:b/>
          <w:noProof w:val="0"/>
        </w:rPr>
        <w:t>transportul public local/zonal de călători</w:t>
      </w:r>
      <w:r w:rsidR="00B449B6">
        <w:rPr>
          <w:rStyle w:val="FootnoteReference"/>
          <w:rFonts w:ascii="Trebuchet MS" w:eastAsia="Times New Roman" w:hAnsi="Trebuchet MS" w:cs="Times New Roman"/>
          <w:b/>
          <w:noProof w:val="0"/>
        </w:rPr>
        <w:footnoteReference w:id="1"/>
      </w:r>
    </w:p>
    <w:p w:rsidR="004955D6" w:rsidRPr="00FE0FFE" w:rsidRDefault="00432BFC" w:rsidP="004955D6">
      <w:pPr>
        <w:spacing w:before="120" w:after="0" w:line="240" w:lineRule="auto"/>
        <w:jc w:val="center"/>
        <w:rPr>
          <w:rFonts w:ascii="Trebuchet MS" w:eastAsia="Times New Roman" w:hAnsi="Trebuchet MS" w:cs="Times New Roman"/>
          <w:b/>
          <w:i/>
          <w:noProof w:val="0"/>
        </w:rPr>
      </w:pPr>
      <w:r w:rsidRPr="00FE0FFE">
        <w:rPr>
          <w:rFonts w:ascii="Trebuchet MS" w:eastAsia="Times New Roman" w:hAnsi="Trebuchet MS" w:cs="Times New Roman"/>
          <w:b/>
          <w:i/>
          <w:noProof w:val="0"/>
        </w:rPr>
        <w:t>-</w:t>
      </w:r>
      <w:r w:rsidR="00FE0FFE" w:rsidRPr="00FE0FFE">
        <w:rPr>
          <w:rFonts w:ascii="Trebuchet MS" w:eastAsia="Times New Roman" w:hAnsi="Trebuchet MS" w:cs="Times New Roman"/>
          <w:b/>
          <w:i/>
          <w:noProof w:val="0"/>
        </w:rPr>
        <w:t>informaţii generale</w:t>
      </w:r>
      <w:r w:rsidRPr="00FE0FFE">
        <w:rPr>
          <w:rFonts w:ascii="Trebuchet MS" w:eastAsia="Times New Roman" w:hAnsi="Trebuchet MS" w:cs="Times New Roman"/>
          <w:b/>
          <w:i/>
          <w:noProof w:val="0"/>
        </w:rPr>
        <w:t>-</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r w:rsidRPr="004955D6">
        <w:rPr>
          <w:rFonts w:ascii="Trebuchet MS" w:eastAsia="Times New Roman" w:hAnsi="Trebuchet MS" w:cs="Times New Roman"/>
          <w:b/>
          <w:noProof w:val="0"/>
          <w:sz w:val="20"/>
          <w:szCs w:val="20"/>
        </w:rPr>
        <w:t>Compensaţia plătită</w:t>
      </w:r>
      <w:r w:rsidRPr="004955D6">
        <w:rPr>
          <w:rFonts w:ascii="Trebuchet MS" w:eastAsia="Times New Roman" w:hAnsi="Trebuchet MS" w:cs="Times New Roman"/>
          <w:noProof w:val="0"/>
          <w:sz w:val="20"/>
          <w:szCs w:val="20"/>
        </w:rPr>
        <w:t xml:space="preserve"> pentru prestarea obligaţiei de serviciu public de transport de călători se supune evaluării în conformitate cu normele privind ajutoarele de stat,</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deoarece se consideră că entităţile care beneficiază de o astfel de finanţare desfășoară o activitate economică (serviciul de transport public). De asemenea, se va avea în vedere ca inclusiv activitatea de furnizare a serviciului de transport public prin mijloacele proprii ale autorității publice poate fi considerată ca având caracter economic</w:t>
      </w:r>
      <w:r w:rsidRPr="004955D6">
        <w:rPr>
          <w:rFonts w:ascii="Trebuchet MS" w:eastAsia="Times New Roman" w:hAnsi="Trebuchet MS" w:cs="Times New Roman"/>
          <w:noProof w:val="0"/>
          <w:sz w:val="20"/>
          <w:szCs w:val="20"/>
          <w:vertAlign w:val="superscript"/>
        </w:rPr>
        <w:footnoteReference w:id="2"/>
      </w:r>
      <w:r w:rsidRPr="004955D6">
        <w:rPr>
          <w:rFonts w:ascii="Trebuchet MS" w:eastAsia="Times New Roman" w:hAnsi="Trebuchet MS" w:cs="Times New Roman"/>
          <w:noProof w:val="0"/>
          <w:sz w:val="20"/>
          <w:szCs w:val="20"/>
        </w:rPr>
        <w:t>.</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r w:rsidRPr="004955D6">
        <w:rPr>
          <w:rFonts w:ascii="Trebuchet MS" w:eastAsia="Times New Roman" w:hAnsi="Trebuchet MS" w:cs="Times New Roman"/>
          <w:noProof w:val="0"/>
          <w:sz w:val="20"/>
          <w:szCs w:val="20"/>
        </w:rPr>
        <w:t>A</w:t>
      </w:r>
      <w:r w:rsidRPr="004955D6">
        <w:rPr>
          <w:rFonts w:ascii="Trebuchet MS" w:eastAsia="Times New Roman" w:hAnsi="Trebuchet MS" w:cs="Times New Roman"/>
          <w:b/>
          <w:noProof w:val="0"/>
          <w:sz w:val="20"/>
          <w:szCs w:val="20"/>
        </w:rPr>
        <w:t xml:space="preserve">rticolul 107, alin. (1) din Tratatul privind funcţionarea Uniunii Europene (TFUE) </w:t>
      </w:r>
      <w:r w:rsidRPr="004955D6">
        <w:rPr>
          <w:rFonts w:ascii="Trebuchet MS" w:eastAsia="Times New Roman" w:hAnsi="Trebuchet MS" w:cs="Times New Roman"/>
          <w:noProof w:val="0"/>
          <w:sz w:val="20"/>
          <w:szCs w:val="20"/>
        </w:rPr>
        <w:t xml:space="preserve">definește </w:t>
      </w:r>
      <w:r w:rsidRPr="004955D6">
        <w:rPr>
          <w:rFonts w:ascii="Trebuchet MS" w:eastAsia="Times New Roman" w:hAnsi="Trebuchet MS" w:cs="Times New Roman"/>
          <w:b/>
          <w:noProof w:val="0"/>
          <w:sz w:val="20"/>
          <w:szCs w:val="20"/>
        </w:rPr>
        <w:t>ajutorul de stat</w:t>
      </w:r>
      <w:r w:rsidRPr="004955D6">
        <w:rPr>
          <w:rFonts w:ascii="Trebuchet MS" w:eastAsia="Times New Roman" w:hAnsi="Trebuchet MS" w:cs="Times New Roman"/>
          <w:noProof w:val="0"/>
          <w:sz w:val="20"/>
          <w:szCs w:val="20"/>
        </w:rPr>
        <w:t xml:space="preserve"> ca fiind orice resursă acordată de stat, sub orice formă, care denaturează sau ameninţă să denatureze concurenţa prin favorizarea anumitor întreprinderi sau a producerii anumitor bunuri, în măsura în care acestea afectează schimburile comerciale dintre statele membre.</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Tot în articolul 107, alineatul (2) și alineatul (3) din TFUE, sunt stabilite ajutoarele de stat care sunt compatibile cu piaţa internă, precum și ajutoarele de stat care pot fi considerate compatibile cu piaţa internă.</w:t>
      </w:r>
    </w:p>
    <w:p w:rsidR="004955D6" w:rsidRPr="004955D6" w:rsidRDefault="004955D6" w:rsidP="004955D6">
      <w:pPr>
        <w:spacing w:before="120" w:after="0" w:line="240" w:lineRule="auto"/>
        <w:jc w:val="both"/>
        <w:rPr>
          <w:rFonts w:ascii="Trebuchet MS" w:eastAsia="Times New Roman" w:hAnsi="Trebuchet MS" w:cs="Times New Roman"/>
          <w:b/>
          <w:noProof w:val="0"/>
          <w:sz w:val="20"/>
          <w:szCs w:val="20"/>
        </w:rPr>
      </w:pPr>
      <w:r w:rsidRPr="004955D6">
        <w:rPr>
          <w:rFonts w:ascii="Trebuchet MS" w:eastAsia="Times New Roman" w:hAnsi="Trebuchet MS" w:cs="Times New Roman"/>
          <w:noProof w:val="0"/>
          <w:sz w:val="20"/>
          <w:szCs w:val="20"/>
        </w:rPr>
        <w:t xml:space="preserve">Conform Articolului 108 alin. (3) din TFUE, dacă nu sunt exceptate prin Tratat, </w:t>
      </w:r>
      <w:r w:rsidRPr="004955D6">
        <w:rPr>
          <w:rFonts w:ascii="Trebuchet MS" w:eastAsia="Times New Roman" w:hAnsi="Trebuchet MS" w:cs="Times New Roman"/>
          <w:b/>
          <w:noProof w:val="0"/>
          <w:sz w:val="20"/>
          <w:szCs w:val="20"/>
        </w:rPr>
        <w:t xml:space="preserve">ajutoarele de stat trebuie comunicate în prealabil Comisiei Europene. </w:t>
      </w:r>
      <w:r w:rsidRPr="004955D6">
        <w:rPr>
          <w:rFonts w:ascii="Trebuchet MS" w:eastAsia="Times New Roman" w:hAnsi="Trebuchet MS" w:cs="Times New Roman"/>
          <w:noProof w:val="0"/>
          <w:sz w:val="20"/>
          <w:szCs w:val="20"/>
        </w:rPr>
        <w:t>Potrivit Articolului 108 alin. (4) din TFUE, „Consiliul, la propunerea Comisiei şi după consultarea Parlamentului European, poate adopta toate regulamentele utile pentru aplicarea articolelor 107 şi 108, şi poate stabili, în special, condiţiile de aplicare a articolului 108 alineatul (3) şi categoriile de ajutoare care sunt exceptate de la această procedură.”</w:t>
      </w:r>
    </w:p>
    <w:p w:rsidR="004955D6" w:rsidRPr="004955D6" w:rsidRDefault="004955D6" w:rsidP="004955D6">
      <w:pPr>
        <w:spacing w:before="120" w:after="120" w:line="240" w:lineRule="auto"/>
        <w:jc w:val="both"/>
        <w:rPr>
          <w:rFonts w:ascii="Trebuchet MS" w:eastAsia="Times New Roman" w:hAnsi="Trebuchet MS" w:cs="Times New Roman"/>
          <w:noProof w:val="0"/>
          <w:sz w:val="20"/>
          <w:szCs w:val="20"/>
        </w:rPr>
      </w:pPr>
      <w:r w:rsidRPr="004955D6">
        <w:rPr>
          <w:rFonts w:ascii="Trebuchet MS" w:eastAsia="Times New Roman" w:hAnsi="Trebuchet MS" w:cs="Times New Roman"/>
          <w:noProof w:val="0"/>
          <w:sz w:val="20"/>
          <w:szCs w:val="20"/>
        </w:rPr>
        <w:t>Politica europeană în domeniul transporturilor este trasată în cadrul Titlului VI - Transporturile, art. 90-100 din Tratatul privind funcţionarea Uniunii Europene (TFUE), iar în ceea ce privește ajutoarele acordate în domeniul transportului, Art. 93 din TFUE stabilește că:</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b/>
          <w:noProof w:val="0"/>
          <w:sz w:val="20"/>
          <w:szCs w:val="20"/>
        </w:rPr>
        <w:t>Sunt compatibile cu tratatele ajutoarele care răspund necesităţilor de coordonare a transporturilor sau care constituie compensarea anumitor obligaţii inerente noţiunii de serviciu public</w:t>
      </w:r>
      <w:r w:rsidRPr="004955D6">
        <w:rPr>
          <w:rFonts w:ascii="Trebuchet MS" w:eastAsia="Times New Roman" w:hAnsi="Trebuchet MS" w:cs="Times New Roman"/>
          <w:noProof w:val="0"/>
          <w:sz w:val="20"/>
          <w:szCs w:val="20"/>
        </w:rPr>
        <w:t xml:space="preserve">.” </w:t>
      </w:r>
      <w:r w:rsidRPr="004955D6">
        <w:rPr>
          <w:rFonts w:ascii="Trebuchet MS" w:eastAsia="Times New Roman" w:hAnsi="Trebuchet MS" w:cs="Arial"/>
          <w:noProof w:val="0"/>
          <w:sz w:val="20"/>
          <w:szCs w:val="20"/>
        </w:rPr>
        <w:t>Astfel</w:t>
      </w:r>
      <w:r w:rsidRPr="004955D6">
        <w:rPr>
          <w:rFonts w:ascii="Trebuchet MS" w:eastAsia="Times New Roman" w:hAnsi="Trebuchet MS" w:cs="Times New Roman"/>
          <w:noProof w:val="0"/>
          <w:sz w:val="20"/>
          <w:szCs w:val="20"/>
        </w:rPr>
        <w:t xml:space="preserve">, articolul 93 din TFUE nu prevede o exceptare generală de la regimul ajutoarelor de stat, după cum se menționează și în considerentul nr. 34 din Regulamentul (CE) nr. 1370/2007: „O astfel de compensație </w:t>
      </w:r>
      <w:r w:rsidRPr="004955D6">
        <w:rPr>
          <w:rFonts w:ascii="Trebuchet MS" w:eastAsia="Times New Roman" w:hAnsi="Trebuchet MS" w:cs="Times New Roman"/>
          <w:b/>
          <w:noProof w:val="0"/>
          <w:sz w:val="20"/>
          <w:szCs w:val="20"/>
        </w:rPr>
        <w:t>poate fi compatibilă</w:t>
      </w:r>
      <w:r w:rsidRPr="004955D6">
        <w:rPr>
          <w:rFonts w:ascii="Trebuchet MS" w:eastAsia="Times New Roman" w:hAnsi="Trebuchet MS" w:cs="Times New Roman"/>
          <w:noProof w:val="0"/>
          <w:sz w:val="20"/>
          <w:szCs w:val="20"/>
        </w:rPr>
        <w:t xml:space="preserve"> cu tratatul în temeiul articolului 73 [actualul art. 93 din TFUE] </w:t>
      </w:r>
      <w:r w:rsidRPr="004955D6">
        <w:rPr>
          <w:rFonts w:ascii="Trebuchet MS" w:eastAsia="Times New Roman" w:hAnsi="Trebuchet MS" w:cs="Times New Roman"/>
          <w:b/>
          <w:noProof w:val="0"/>
          <w:sz w:val="20"/>
          <w:szCs w:val="20"/>
        </w:rPr>
        <w:t>în anumite condiții</w:t>
      </w:r>
      <w:r w:rsidRPr="004955D6">
        <w:rPr>
          <w:rFonts w:ascii="Trebuchet MS" w:eastAsia="Times New Roman" w:hAnsi="Trebuchet MS" w:cs="Times New Roman"/>
          <w:noProof w:val="0"/>
          <w:sz w:val="20"/>
          <w:szCs w:val="20"/>
        </w:rPr>
        <w:t>.</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 xml:space="preserve">În primul rând, ea trebuie acordată pentru a asigura </w:t>
      </w:r>
      <w:r w:rsidRPr="004955D6">
        <w:rPr>
          <w:rFonts w:ascii="Trebuchet MS" w:eastAsia="Times New Roman" w:hAnsi="Trebuchet MS" w:cs="Times New Roman"/>
          <w:b/>
          <w:noProof w:val="0"/>
          <w:sz w:val="20"/>
          <w:szCs w:val="20"/>
        </w:rPr>
        <w:t>prestarea serviciilor care sunt servicii de interes general în sensul tratatului</w:t>
      </w:r>
      <w:r w:rsidRPr="004955D6">
        <w:rPr>
          <w:rFonts w:ascii="Trebuchet MS" w:eastAsia="Times New Roman" w:hAnsi="Trebuchet MS" w:cs="Times New Roman"/>
          <w:noProof w:val="0"/>
          <w:sz w:val="20"/>
          <w:szCs w:val="20"/>
        </w:rPr>
        <w:t xml:space="preserve">. În al doilea rând, pentru a evita denaturarea nejustificată a concurenței, </w:t>
      </w:r>
      <w:r w:rsidRPr="004955D6">
        <w:rPr>
          <w:rFonts w:ascii="Trebuchet MS" w:eastAsia="Times New Roman" w:hAnsi="Trebuchet MS" w:cs="Times New Roman"/>
          <w:b/>
          <w:noProof w:val="0"/>
          <w:sz w:val="20"/>
          <w:szCs w:val="20"/>
        </w:rPr>
        <w:t>această compensație nu poate depăși ceea ce este necesar pentru acoperirea costurilor nete ocazionate de îndeplinirea obligațiilor de serviciu public, ținând seama de venitul generat prin aceasta și de un profit rezonabil</w:t>
      </w:r>
      <w:r w:rsidRPr="004955D6">
        <w:rPr>
          <w:rFonts w:ascii="Trebuchet MS" w:eastAsia="Times New Roman" w:hAnsi="Trebuchet MS" w:cs="Times New Roman"/>
          <w:noProof w:val="0"/>
          <w:sz w:val="20"/>
          <w:szCs w:val="20"/>
        </w:rPr>
        <w:t>.”</w:t>
      </w:r>
    </w:p>
    <w:p w:rsidR="004955D6" w:rsidRPr="004955D6" w:rsidRDefault="004955D6" w:rsidP="004955D6">
      <w:pPr>
        <w:spacing w:before="120" w:after="120" w:line="240" w:lineRule="auto"/>
        <w:jc w:val="both"/>
        <w:rPr>
          <w:rFonts w:ascii="Trebuchet MS" w:eastAsia="Times New Roman" w:hAnsi="Trebuchet MS" w:cs="Times New Roman"/>
          <w:noProof w:val="0"/>
          <w:sz w:val="20"/>
          <w:szCs w:val="20"/>
        </w:rPr>
      </w:pPr>
      <w:r w:rsidRPr="004955D6">
        <w:rPr>
          <w:rFonts w:ascii="Arial" w:eastAsia="Times New Roman" w:hAnsi="Arial" w:cs="Arial"/>
          <w:noProof w:val="0"/>
          <w:sz w:val="20"/>
          <w:szCs w:val="20"/>
        </w:rPr>
        <w:t>Ȋ</w:t>
      </w:r>
      <w:r w:rsidRPr="004955D6">
        <w:rPr>
          <w:rFonts w:ascii="Trebuchet MS" w:eastAsia="Times New Roman" w:hAnsi="Trebuchet MS" w:cs="Times New Roman"/>
          <w:noProof w:val="0"/>
          <w:sz w:val="20"/>
          <w:szCs w:val="20"/>
        </w:rPr>
        <w:t>n considerentul nr. 35</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 xml:space="preserve">din Regulamentul (CE) nr. 1370/2007, se clarifică faptul că acea compensație aferentă obligației de serviciu public acordată </w:t>
      </w:r>
      <w:r w:rsidRPr="004955D6">
        <w:rPr>
          <w:rFonts w:ascii="Trebuchet MS" w:eastAsia="Times New Roman" w:hAnsi="Trebuchet MS" w:cs="Times New Roman"/>
          <w:b/>
          <w:noProof w:val="0"/>
          <w:sz w:val="20"/>
          <w:szCs w:val="20"/>
        </w:rPr>
        <w:t>în conformitate cu dispozițiile Regulamentului (CE) nr. 1370/2007</w:t>
      </w:r>
      <w:r w:rsidRPr="004955D6">
        <w:rPr>
          <w:rFonts w:ascii="Trebuchet MS" w:eastAsia="Times New Roman" w:hAnsi="Trebuchet MS" w:cs="Times New Roman"/>
          <w:noProof w:val="0"/>
          <w:sz w:val="20"/>
          <w:szCs w:val="20"/>
        </w:rPr>
        <w:t xml:space="preserve"> este exceptată de la notificarea prealabilă a Comisiei Europene: „Prin urmare, compensația acordată de către autoritățile competente în conformitate cu dispozițiile prezentului regulament poate fi exceptată de la cerința de notificare prealabilă prevăzută la articolul 88 [actualul art. 108] alineatul (3) din tratat.”, iar conform articolului 9, alin. (1)</w:t>
      </w:r>
      <w:r w:rsidRPr="004955D6">
        <w:rPr>
          <w:rFonts w:ascii="Trebuchet MS" w:eastAsia="Times New Roman" w:hAnsi="Trebuchet MS" w:cs="Times New Roman"/>
          <w:noProof w:val="0"/>
          <w:sz w:val="20"/>
          <w:szCs w:val="24"/>
        </w:rPr>
        <w:t xml:space="preserve"> din </w:t>
      </w:r>
      <w:r w:rsidRPr="004955D6">
        <w:rPr>
          <w:rFonts w:ascii="Trebuchet MS" w:eastAsia="Times New Roman" w:hAnsi="Trebuchet MS" w:cs="Times New Roman"/>
          <w:noProof w:val="0"/>
          <w:sz w:val="20"/>
          <w:szCs w:val="20"/>
        </w:rPr>
        <w:t>Regulamentul (CE) nr. 1370/2007: ”O astfel de compensație  este scutită de obligația de notificare prealabilă stabilită la articolul 88 [actualul art. 108] alineatul (3) din tratat.”</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r w:rsidRPr="004955D6">
        <w:rPr>
          <w:rFonts w:ascii="Trebuchet MS" w:eastAsia="Times New Roman" w:hAnsi="Trebuchet MS" w:cs="Times New Roman"/>
          <w:noProof w:val="0"/>
          <w:sz w:val="20"/>
          <w:szCs w:val="20"/>
        </w:rPr>
        <w:lastRenderedPageBreak/>
        <w:t>Potrivit considerentului nr. 33 din Regulamentul (CE) nr. 1370/2007, pentru a se hotărî dacă o compensație de serviciu public nu constituie un avantaj (ajutor de stat) în sensul articolului 107 [ex-articolul 87] din tratat, se poate aplica testul prevăzut de cazul Altmark, respectiv dacă sunt îndeplinite cele patru condiții cumulative</w:t>
      </w:r>
      <w:r w:rsidRPr="004955D6">
        <w:rPr>
          <w:rFonts w:ascii="Trebuchet MS" w:eastAsia="Times New Roman" w:hAnsi="Trebuchet MS" w:cs="Times New Roman"/>
          <w:noProof w:val="0"/>
          <w:sz w:val="20"/>
          <w:szCs w:val="20"/>
          <w:vertAlign w:val="superscript"/>
        </w:rPr>
        <w:footnoteReference w:id="3"/>
      </w:r>
      <w:r w:rsidRPr="004955D6">
        <w:rPr>
          <w:rFonts w:ascii="Trebuchet MS" w:eastAsia="Times New Roman" w:hAnsi="Trebuchet MS" w:cs="Times New Roman"/>
          <w:noProof w:val="0"/>
          <w:sz w:val="20"/>
          <w:szCs w:val="20"/>
        </w:rPr>
        <w:t>.</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r w:rsidRPr="004955D6">
        <w:rPr>
          <w:rFonts w:ascii="Arial" w:eastAsia="Times New Roman" w:hAnsi="Arial" w:cs="Arial"/>
          <w:noProof w:val="0"/>
          <w:sz w:val="20"/>
          <w:szCs w:val="20"/>
        </w:rPr>
        <w:t>Ȋ</w:t>
      </w:r>
      <w:r w:rsidRPr="004955D6">
        <w:rPr>
          <w:rFonts w:ascii="Trebuchet MS" w:eastAsia="Times New Roman" w:hAnsi="Trebuchet MS" w:cs="Times New Roman"/>
          <w:noProof w:val="0"/>
          <w:sz w:val="20"/>
          <w:szCs w:val="20"/>
        </w:rPr>
        <w:t>n concluzie,</w:t>
      </w:r>
      <w:r w:rsidRPr="004955D6">
        <w:rPr>
          <w:rFonts w:ascii="Trebuchet MS" w:eastAsia="Times New Roman" w:hAnsi="Trebuchet MS" w:cs="Times New Roman"/>
          <w:b/>
          <w:noProof w:val="0"/>
          <w:sz w:val="20"/>
          <w:szCs w:val="20"/>
        </w:rPr>
        <w:t xml:space="preserve"> compensația</w:t>
      </w:r>
      <w:r w:rsidRPr="004955D6">
        <w:rPr>
          <w:rFonts w:ascii="Trebuchet MS" w:eastAsia="Times New Roman" w:hAnsi="Trebuchet MS" w:cs="Times New Roman"/>
          <w:noProof w:val="0"/>
          <w:sz w:val="20"/>
          <w:szCs w:val="20"/>
        </w:rPr>
        <w:t xml:space="preserve"> acordată pentru obligaţia de serviciu public de transport de călători poate fi încadrată într-una din următoarele trei situații, în funcție de respectarea prevederilor din Regulamentul (CE) nr. 1370/2007, dar și a celor 4 condiții cumulative stabilite în cauza „Altmark Trans GmbH” (a se vedea considerentul 33 din Regulamentul (CE) nr. 1370/2007):</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p>
    <w:p w:rsidR="004955D6" w:rsidRPr="004955D6" w:rsidRDefault="004955D6" w:rsidP="004955D6">
      <w:pPr>
        <w:numPr>
          <w:ilvl w:val="0"/>
          <w:numId w:val="1"/>
        </w:numPr>
        <w:spacing w:before="120" w:after="0" w:line="240" w:lineRule="auto"/>
        <w:jc w:val="both"/>
        <w:rPr>
          <w:rFonts w:ascii="Trebuchet MS" w:eastAsia="Times New Roman" w:hAnsi="Trebuchet MS" w:cs="Times New Roman"/>
          <w:b/>
          <w:noProof w:val="0"/>
          <w:sz w:val="20"/>
          <w:szCs w:val="20"/>
        </w:rPr>
      </w:pPr>
      <w:r w:rsidRPr="004955D6">
        <w:rPr>
          <w:rFonts w:ascii="Trebuchet MS" w:eastAsia="Times New Roman" w:hAnsi="Trebuchet MS" w:cs="Times New Roman"/>
          <w:b/>
          <w:noProof w:val="0"/>
          <w:sz w:val="20"/>
          <w:szCs w:val="20"/>
        </w:rPr>
        <w:t>Inexistența ajutorului de stat</w:t>
      </w:r>
    </w:p>
    <w:p w:rsidR="004955D6" w:rsidRPr="004955D6" w:rsidRDefault="004955D6" w:rsidP="004955D6">
      <w:pPr>
        <w:spacing w:before="120" w:after="0" w:line="240" w:lineRule="auto"/>
        <w:jc w:val="both"/>
        <w:rPr>
          <w:rFonts w:ascii="Trebuchet MS" w:eastAsia="Times New Roman" w:hAnsi="Trebuchet MS" w:cs="Times New Roman"/>
          <w:b/>
          <w:noProof w:val="0"/>
          <w:sz w:val="20"/>
          <w:szCs w:val="20"/>
        </w:rPr>
      </w:pPr>
      <w:r w:rsidRPr="004955D6">
        <w:rPr>
          <w:rFonts w:ascii="Arial" w:eastAsia="Times New Roman" w:hAnsi="Arial" w:cs="Arial"/>
          <w:noProof w:val="0"/>
          <w:sz w:val="20"/>
          <w:szCs w:val="20"/>
        </w:rPr>
        <w:t>Ȋ</w:t>
      </w:r>
      <w:r w:rsidRPr="004955D6">
        <w:rPr>
          <w:rFonts w:ascii="Trebuchet MS" w:eastAsia="Times New Roman" w:hAnsi="Trebuchet MS" w:cs="Times New Roman"/>
          <w:noProof w:val="0"/>
          <w:sz w:val="20"/>
          <w:szCs w:val="20"/>
        </w:rPr>
        <w:t xml:space="preserve">n situația în operatorul a fost selectat prin </w:t>
      </w:r>
      <w:r w:rsidRPr="004955D6">
        <w:rPr>
          <w:rFonts w:ascii="Trebuchet MS" w:eastAsia="Times New Roman" w:hAnsi="Trebuchet MS" w:cs="Times New Roman"/>
          <w:b/>
          <w:noProof w:val="0"/>
          <w:sz w:val="20"/>
          <w:szCs w:val="20"/>
        </w:rPr>
        <w:t>procedură competitivă de atribuire</w:t>
      </w:r>
      <w:r w:rsidRPr="004955D6">
        <w:rPr>
          <w:rFonts w:ascii="Trebuchet MS" w:eastAsia="Times New Roman" w:hAnsi="Trebuchet MS" w:cs="Times New Roman"/>
          <w:b/>
          <w:noProof w:val="0"/>
          <w:sz w:val="20"/>
          <w:szCs w:val="20"/>
          <w:vertAlign w:val="superscript"/>
        </w:rPr>
        <w:footnoteReference w:id="4"/>
      </w:r>
      <w:r w:rsidRPr="004955D6">
        <w:rPr>
          <w:rFonts w:ascii="Trebuchet MS" w:eastAsia="Times New Roman" w:hAnsi="Trebuchet MS" w:cs="Times New Roman"/>
          <w:noProof w:val="0"/>
          <w:sz w:val="20"/>
          <w:szCs w:val="20"/>
        </w:rPr>
        <w:t xml:space="preserve">, potrivit art. 5, alin. (1) din Regulamentul (CE) nr. 1370/2007, desfășurată în conformitate cu prevederile legislației în vigoare privind achizițiile publice și sunt respectate toate cerințele Regulamentului (inclusiv a primelor 3 condiții „Altmark”), compensația acordată operatorului poate fi considerată ca nefiind ajutor de stat deoarece “nu denaturează sau ameninţă să denatureze concurenţa prin favorizarea anumitor întreprinderi sau a producerii anumitor bunuri”, în sensul art. 107 din TFUE. </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4"/>
        </w:rPr>
      </w:pPr>
      <w:r w:rsidRPr="004955D6">
        <w:rPr>
          <w:rFonts w:ascii="Arial" w:eastAsia="Times New Roman" w:hAnsi="Arial" w:cs="Arial"/>
          <w:noProof w:val="0"/>
          <w:sz w:val="20"/>
          <w:szCs w:val="20"/>
        </w:rPr>
        <w:t>Ȋ</w:t>
      </w:r>
      <w:r w:rsidRPr="004955D6">
        <w:rPr>
          <w:rFonts w:ascii="Trebuchet MS" w:eastAsia="Times New Roman" w:hAnsi="Trebuchet MS" w:cs="Times New Roman"/>
          <w:noProof w:val="0"/>
          <w:sz w:val="20"/>
          <w:szCs w:val="20"/>
        </w:rPr>
        <w:t xml:space="preserve">n cazul </w:t>
      </w:r>
      <w:r w:rsidRPr="004955D6">
        <w:rPr>
          <w:rFonts w:ascii="Trebuchet MS" w:eastAsia="Times New Roman" w:hAnsi="Trebuchet MS" w:cs="Times New Roman"/>
          <w:b/>
          <w:noProof w:val="0"/>
          <w:sz w:val="20"/>
          <w:szCs w:val="20"/>
        </w:rPr>
        <w:t>atribuirii directe a contractului de servicii publice</w:t>
      </w:r>
      <w:r w:rsidRPr="004955D6">
        <w:rPr>
          <w:rFonts w:ascii="Trebuchet MS" w:eastAsia="Times New Roman" w:hAnsi="Trebuchet MS" w:cs="Times New Roman"/>
          <w:noProof w:val="0"/>
          <w:sz w:val="20"/>
          <w:szCs w:val="20"/>
        </w:rPr>
        <w:t>, conform cu art. 5 alin. (2) din</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Regulamentul (CE) nr. 1370/2007, pe lângă respectarea tuturor cerințelor Regulamentului (inclusiv a primelor 3 condiții „Altmark”), compensația acordată operatorului ar putea fi considerată ca nefiind ajutor de stat, dacă este respectată inclusiv cea de-a patra condiție „Altmark”: „</w:t>
      </w:r>
      <w:r w:rsidRPr="004955D6">
        <w:rPr>
          <w:rFonts w:ascii="Trebuchet MS" w:eastAsia="Times New Roman" w:hAnsi="Trebuchet MS" w:cs="Times New Roman"/>
          <w:i/>
          <w:noProof w:val="0"/>
          <w:sz w:val="20"/>
          <w:szCs w:val="24"/>
        </w:rPr>
        <w:t xml:space="preserve">În cele din urmă, în cazul în care selectarea întreprinderii care are de îndeplinit obligații de serviciu public într-un caz concret nu s-a realizat pe baza unei proceduri de achiziții publice care ar permite selecționarea ofertantului capabil să furnizeze serviciile respective la cel mai mic preț pentru comunitate, </w:t>
      </w:r>
      <w:r w:rsidRPr="004955D6">
        <w:rPr>
          <w:rFonts w:ascii="Trebuchet MS" w:eastAsia="Times New Roman" w:hAnsi="Trebuchet MS" w:cs="Times New Roman"/>
          <w:b/>
          <w:i/>
          <w:noProof w:val="0"/>
          <w:sz w:val="20"/>
          <w:szCs w:val="24"/>
        </w:rPr>
        <w:t>nivelul compensației necesare trebuie stabilit pe baza</w:t>
      </w:r>
      <w:r w:rsidRPr="004955D6">
        <w:rPr>
          <w:rFonts w:ascii="Trebuchet MS" w:eastAsia="Times New Roman" w:hAnsi="Trebuchet MS" w:cs="Times New Roman"/>
          <w:b/>
          <w:noProof w:val="0"/>
          <w:sz w:val="20"/>
          <w:szCs w:val="24"/>
        </w:rPr>
        <w:t xml:space="preserve"> </w:t>
      </w:r>
      <w:r w:rsidRPr="004955D6">
        <w:rPr>
          <w:rFonts w:ascii="Trebuchet MS" w:eastAsia="Times New Roman" w:hAnsi="Trebuchet MS" w:cs="Times New Roman"/>
          <w:b/>
          <w:i/>
          <w:noProof w:val="0"/>
          <w:sz w:val="20"/>
          <w:szCs w:val="24"/>
        </w:rPr>
        <w:t>unei analize a costurilor pe care le-ar fi suportat o întreprindere obișnuită, bine gestionată și dotată corespunzător cu mijloacele adecvate</w:t>
      </w:r>
      <w:r w:rsidRPr="004955D6">
        <w:rPr>
          <w:rFonts w:ascii="Trebuchet MS" w:eastAsia="Times New Roman" w:hAnsi="Trebuchet MS" w:cs="Times New Roman"/>
          <w:i/>
          <w:noProof w:val="0"/>
          <w:sz w:val="20"/>
          <w:szCs w:val="24"/>
        </w:rPr>
        <w:t>.”</w:t>
      </w:r>
      <w:r w:rsidRPr="004955D6">
        <w:rPr>
          <w:rFonts w:ascii="Trebuchet MS" w:eastAsia="Times New Roman" w:hAnsi="Trebuchet MS" w:cs="Times New Roman"/>
          <w:noProof w:val="0"/>
          <w:sz w:val="20"/>
          <w:szCs w:val="24"/>
        </w:rPr>
        <w:t xml:space="preserve"> </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r w:rsidRPr="004955D6">
        <w:rPr>
          <w:rFonts w:ascii="Arial" w:eastAsia="Times New Roman" w:hAnsi="Arial" w:cs="Arial"/>
          <w:noProof w:val="0"/>
          <w:sz w:val="20"/>
          <w:szCs w:val="24"/>
        </w:rPr>
        <w:t>Ȋ</w:t>
      </w:r>
      <w:r w:rsidRPr="004955D6">
        <w:rPr>
          <w:rFonts w:ascii="Trebuchet MS" w:eastAsia="Times New Roman" w:hAnsi="Trebuchet MS" w:cs="Times New Roman"/>
          <w:noProof w:val="0"/>
          <w:sz w:val="20"/>
          <w:szCs w:val="24"/>
        </w:rPr>
        <w:t>nsă, în practică, respectarea celei de-a patra condiții Altmark în cazul serviciilor de transport public local este mai dificil de probat.</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p>
    <w:p w:rsidR="004955D6" w:rsidRPr="004955D6" w:rsidRDefault="004955D6" w:rsidP="004955D6">
      <w:pPr>
        <w:numPr>
          <w:ilvl w:val="0"/>
          <w:numId w:val="1"/>
        </w:numPr>
        <w:spacing w:before="120" w:after="0" w:line="240" w:lineRule="auto"/>
        <w:jc w:val="both"/>
        <w:rPr>
          <w:rFonts w:ascii="Trebuchet MS" w:eastAsia="Times New Roman" w:hAnsi="Trebuchet MS" w:cs="Times New Roman"/>
          <w:b/>
          <w:noProof w:val="0"/>
          <w:sz w:val="20"/>
          <w:szCs w:val="20"/>
        </w:rPr>
      </w:pPr>
      <w:r w:rsidRPr="004955D6">
        <w:rPr>
          <w:rFonts w:ascii="Trebuchet MS" w:eastAsia="Times New Roman" w:hAnsi="Trebuchet MS" w:cs="Times New Roman"/>
          <w:b/>
          <w:noProof w:val="0"/>
          <w:sz w:val="20"/>
          <w:szCs w:val="20"/>
        </w:rPr>
        <w:t>Ajutor de stat compatibil cu piaţa internă, acoperit de prevederile Regulamentului (CE) nr. 1370/2007 și scutit de obligația de notificare prealabilă</w:t>
      </w:r>
    </w:p>
    <w:p w:rsidR="004955D6" w:rsidRPr="004955D6" w:rsidRDefault="004955D6" w:rsidP="004955D6">
      <w:pPr>
        <w:spacing w:before="120" w:after="0" w:line="240" w:lineRule="auto"/>
        <w:jc w:val="both"/>
        <w:rPr>
          <w:rFonts w:ascii="Trebuchet MS" w:eastAsia="Times New Roman" w:hAnsi="Trebuchet MS" w:cs="Times New Roman"/>
          <w:i/>
          <w:noProof w:val="0"/>
          <w:sz w:val="20"/>
          <w:szCs w:val="20"/>
        </w:rPr>
      </w:pPr>
      <w:r w:rsidRPr="004955D6">
        <w:rPr>
          <w:rFonts w:ascii="Trebuchet MS" w:eastAsia="Times New Roman" w:hAnsi="Trebuchet MS" w:cs="Times New Roman"/>
          <w:noProof w:val="0"/>
          <w:sz w:val="20"/>
          <w:szCs w:val="20"/>
        </w:rPr>
        <w:t>În cazul cazul în care unul sau mai multe dintre criteriile Altmark nu este/sunt îndeplinit(e) sau nu pot fi probate (de exemplu, criteriul 4</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 xml:space="preserve">Altmark în cazul atribuirii directe), compensaţia plătită este ajutor de stat și intră sub incidenţa dispoziţiilor Regulamentului (CE) nr. 1370/2007, calculându-se conform prevederilor acestuia, inclusiv ale Anexei - </w:t>
      </w:r>
      <w:r w:rsidRPr="004955D6">
        <w:rPr>
          <w:rFonts w:ascii="Trebuchet MS" w:eastAsia="Times New Roman" w:hAnsi="Trebuchet MS" w:cs="Times New Roman"/>
          <w:i/>
          <w:noProof w:val="0"/>
          <w:sz w:val="20"/>
          <w:szCs w:val="20"/>
        </w:rPr>
        <w:t xml:space="preserve">Norme aplicabile compensației în cazurile menționate la articolul 6 alineatul (1). </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r w:rsidRPr="004955D6">
        <w:rPr>
          <w:rFonts w:ascii="Arial" w:eastAsia="Times New Roman" w:hAnsi="Arial" w:cs="Arial"/>
          <w:noProof w:val="0"/>
          <w:sz w:val="20"/>
          <w:szCs w:val="20"/>
        </w:rPr>
        <w:t>Ȋ</w:t>
      </w:r>
      <w:r w:rsidRPr="004955D6">
        <w:rPr>
          <w:rFonts w:ascii="Trebuchet MS" w:eastAsia="Times New Roman" w:hAnsi="Trebuchet MS" w:cs="Times New Roman"/>
          <w:noProof w:val="0"/>
          <w:sz w:val="20"/>
          <w:szCs w:val="20"/>
        </w:rPr>
        <w:t xml:space="preserve">nsă, în situația respectării prevederilor Regulamentului (CE) nr. 1370/2007, compensația acordată operatorului de transport reprezintă </w:t>
      </w:r>
      <w:r w:rsidRPr="004955D6">
        <w:rPr>
          <w:rFonts w:ascii="Trebuchet MS" w:eastAsia="Times New Roman" w:hAnsi="Trebuchet MS" w:cs="Times New Roman"/>
          <w:b/>
          <w:noProof w:val="0"/>
          <w:sz w:val="20"/>
          <w:szCs w:val="20"/>
        </w:rPr>
        <w:t>Ajutor de stat compatibil cu piaţa internă</w:t>
      </w:r>
      <w:r w:rsidRPr="004955D6">
        <w:rPr>
          <w:rFonts w:ascii="Trebuchet MS" w:eastAsia="Times New Roman" w:hAnsi="Trebuchet MS" w:cs="Times New Roman"/>
          <w:noProof w:val="0"/>
          <w:sz w:val="20"/>
          <w:szCs w:val="20"/>
        </w:rPr>
        <w:t>,</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scutit de obligația de notificare prealabilă la Comisia Europeană.</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r w:rsidRPr="004955D6">
        <w:rPr>
          <w:rFonts w:ascii="Trebuchet MS" w:eastAsia="Times New Roman" w:hAnsi="Trebuchet MS" w:cs="Times New Roman"/>
          <w:noProof w:val="0"/>
          <w:sz w:val="20"/>
          <w:szCs w:val="20"/>
        </w:rPr>
        <w:t xml:space="preserve">Se va avea în vedere faptul că jurisprudenţa a statuat că, în cazul în care o măsură care intră în sfera de aplicare a Regulamentului (CE) nr 1370/2007, nu respectă toate prevederile </w:t>
      </w:r>
      <w:r w:rsidRPr="004955D6">
        <w:rPr>
          <w:rFonts w:ascii="Trebuchet MS" w:eastAsia="Times New Roman" w:hAnsi="Trebuchet MS" w:cs="Times New Roman"/>
          <w:noProof w:val="0"/>
          <w:sz w:val="20"/>
          <w:szCs w:val="20"/>
        </w:rPr>
        <w:lastRenderedPageBreak/>
        <w:t>Regulamentului (CE) nr. 1370/2007, Comisia nu o poate autoriza pe baza legislaţiei Uniunii Europene privind ajutoarele de stat.</w:t>
      </w:r>
      <w:r w:rsidRPr="004955D6">
        <w:rPr>
          <w:rFonts w:ascii="Trebuchet MS" w:eastAsia="Times New Roman" w:hAnsi="Trebuchet MS" w:cs="Times New Roman"/>
          <w:noProof w:val="0"/>
          <w:sz w:val="20"/>
          <w:szCs w:val="20"/>
          <w:vertAlign w:val="superscript"/>
        </w:rPr>
        <w:footnoteReference w:id="5"/>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p>
    <w:p w:rsidR="004955D6" w:rsidRPr="004955D6" w:rsidRDefault="004955D6" w:rsidP="004955D6">
      <w:pPr>
        <w:numPr>
          <w:ilvl w:val="0"/>
          <w:numId w:val="1"/>
        </w:numPr>
        <w:spacing w:before="120" w:after="0" w:line="240" w:lineRule="auto"/>
        <w:jc w:val="both"/>
        <w:rPr>
          <w:rFonts w:ascii="Trebuchet MS" w:eastAsia="Times New Roman" w:hAnsi="Trebuchet MS" w:cs="Times New Roman"/>
          <w:b/>
          <w:noProof w:val="0"/>
          <w:sz w:val="20"/>
          <w:szCs w:val="20"/>
        </w:rPr>
      </w:pPr>
      <w:r w:rsidRPr="004955D6">
        <w:rPr>
          <w:rFonts w:ascii="Trebuchet MS" w:eastAsia="Times New Roman" w:hAnsi="Trebuchet MS" w:cs="Times New Roman"/>
          <w:b/>
          <w:noProof w:val="0"/>
          <w:sz w:val="20"/>
          <w:szCs w:val="20"/>
        </w:rPr>
        <w:t>Existența ajutorului de stat incompatibil, neacoperit de prevederile Regulamentul (CE) nr. 1370/2007, ce trebuie notificat în conformitate cu art. 108 alin. (3) din TFUE</w:t>
      </w:r>
    </w:p>
    <w:p w:rsidR="004955D6" w:rsidRPr="004955D6" w:rsidRDefault="004955D6" w:rsidP="004955D6">
      <w:pPr>
        <w:spacing w:before="120" w:after="0" w:line="240" w:lineRule="auto"/>
        <w:jc w:val="both"/>
        <w:rPr>
          <w:rFonts w:ascii="Trebuchet MS" w:eastAsia="Times New Roman" w:hAnsi="Trebuchet MS" w:cs="Times New Roman"/>
          <w:noProof w:val="0"/>
          <w:sz w:val="20"/>
          <w:szCs w:val="20"/>
        </w:rPr>
      </w:pPr>
      <w:r w:rsidRPr="004955D6">
        <w:rPr>
          <w:rFonts w:ascii="Trebuchet MS" w:eastAsia="Times New Roman" w:hAnsi="Trebuchet MS" w:cs="Times New Roman"/>
          <w:noProof w:val="0"/>
          <w:sz w:val="20"/>
          <w:szCs w:val="20"/>
        </w:rPr>
        <w:t>Compensaţia care nu este acoperită de prevederile Regulamentul (CE) nr. 1370/2007</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constituie ajutor de stat</w:t>
      </w:r>
      <w:r w:rsidRPr="004955D6">
        <w:rPr>
          <w:rFonts w:ascii="Trebuchet MS" w:eastAsia="Times New Roman" w:hAnsi="Trebuchet MS" w:cs="Times New Roman"/>
          <w:noProof w:val="0"/>
          <w:sz w:val="20"/>
          <w:szCs w:val="24"/>
        </w:rPr>
        <w:t xml:space="preserve"> </w:t>
      </w:r>
      <w:r w:rsidRPr="004955D6">
        <w:rPr>
          <w:rFonts w:ascii="Trebuchet MS" w:eastAsia="Times New Roman" w:hAnsi="Trebuchet MS" w:cs="Times New Roman"/>
          <w:noProof w:val="0"/>
          <w:sz w:val="20"/>
          <w:szCs w:val="20"/>
        </w:rPr>
        <w:t xml:space="preserve">incompatibil și trebuie obligatoriu notificată la Comisia Europeană.  </w:t>
      </w:r>
    </w:p>
    <w:p w:rsidR="004955D6" w:rsidRPr="004955D6" w:rsidRDefault="004955D6">
      <w:pPr>
        <w:rPr>
          <w:rFonts w:ascii="Trebuchet MS" w:hAnsi="Trebuchet MS"/>
        </w:rPr>
      </w:pPr>
    </w:p>
    <w:sectPr w:rsidR="004955D6" w:rsidRPr="004955D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DE" w:rsidRDefault="001C32DE" w:rsidP="004955D6">
      <w:pPr>
        <w:spacing w:after="0" w:line="240" w:lineRule="auto"/>
      </w:pPr>
      <w:r>
        <w:separator/>
      </w:r>
    </w:p>
  </w:endnote>
  <w:endnote w:type="continuationSeparator" w:id="0">
    <w:p w:rsidR="001C32DE" w:rsidRDefault="001C32DE" w:rsidP="0049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DD" w:rsidRDefault="00BA2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DD" w:rsidRDefault="00BA2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DD" w:rsidRDefault="00BA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DE" w:rsidRDefault="001C32DE" w:rsidP="004955D6">
      <w:pPr>
        <w:spacing w:after="0" w:line="240" w:lineRule="auto"/>
      </w:pPr>
      <w:r>
        <w:separator/>
      </w:r>
    </w:p>
  </w:footnote>
  <w:footnote w:type="continuationSeparator" w:id="0">
    <w:p w:rsidR="001C32DE" w:rsidRDefault="001C32DE" w:rsidP="004955D6">
      <w:pPr>
        <w:spacing w:after="0" w:line="240" w:lineRule="auto"/>
      </w:pPr>
      <w:r>
        <w:continuationSeparator/>
      </w:r>
    </w:p>
  </w:footnote>
  <w:footnote w:id="1">
    <w:p w:rsidR="00B449B6" w:rsidRPr="00B449B6" w:rsidRDefault="00B449B6">
      <w:pPr>
        <w:pStyle w:val="FootnoteText"/>
        <w:rPr>
          <w:rFonts w:ascii="Trebuchet MS" w:hAnsi="Trebuchet MS"/>
          <w:sz w:val="16"/>
          <w:szCs w:val="16"/>
          <w:lang w:val="en-US"/>
        </w:rPr>
      </w:pPr>
      <w:r>
        <w:rPr>
          <w:rStyle w:val="FootnoteReference"/>
        </w:rPr>
        <w:footnoteRef/>
      </w:r>
      <w:r>
        <w:t xml:space="preserve"> </w:t>
      </w:r>
      <w:r>
        <w:rPr>
          <w:rFonts w:ascii="Trebuchet MS" w:hAnsi="Trebuchet MS"/>
          <w:sz w:val="16"/>
          <w:szCs w:val="16"/>
          <w:lang w:val="en-US"/>
        </w:rPr>
        <w:t>Se va vedea ş</w:t>
      </w:r>
      <w:r w:rsidRPr="00B449B6">
        <w:rPr>
          <w:rFonts w:ascii="Trebuchet MS" w:hAnsi="Trebuchet MS"/>
          <w:sz w:val="16"/>
          <w:szCs w:val="16"/>
          <w:lang w:val="en-US"/>
        </w:rPr>
        <w:t xml:space="preserve">i documentul suport Jaspers – Aspecte </w:t>
      </w:r>
      <w:r>
        <w:rPr>
          <w:rFonts w:ascii="Trebuchet MS" w:hAnsi="Trebuchet MS"/>
          <w:sz w:val="16"/>
          <w:szCs w:val="16"/>
          <w:lang w:val="en-US"/>
        </w:rPr>
        <w:t>de avut în vedere pentru finanţ</w:t>
      </w:r>
      <w:r w:rsidRPr="00B449B6">
        <w:rPr>
          <w:rFonts w:ascii="Trebuchet MS" w:hAnsi="Trebuchet MS"/>
          <w:sz w:val="16"/>
          <w:szCs w:val="16"/>
          <w:lang w:val="en-US"/>
        </w:rPr>
        <w:t>area transportului public</w:t>
      </w:r>
      <w:r>
        <w:rPr>
          <w:rFonts w:ascii="Trebuchet MS" w:hAnsi="Trebuchet MS"/>
          <w:sz w:val="16"/>
          <w:szCs w:val="16"/>
          <w:lang w:val="en-US"/>
        </w:rPr>
        <w:t xml:space="preserve">, aflat pe site-ul </w:t>
      </w:r>
      <w:hyperlink r:id="rId1" w:history="1">
        <w:r w:rsidRPr="004C16E2">
          <w:rPr>
            <w:rStyle w:val="Hyperlink"/>
            <w:rFonts w:ascii="Trebuchet MS" w:hAnsi="Trebuchet MS"/>
            <w:sz w:val="16"/>
            <w:szCs w:val="16"/>
            <w:lang w:val="en-US"/>
          </w:rPr>
          <w:t>www.inforegio.ro</w:t>
        </w:r>
      </w:hyperlink>
      <w:r>
        <w:rPr>
          <w:rFonts w:ascii="Trebuchet MS" w:hAnsi="Trebuchet MS"/>
          <w:sz w:val="16"/>
          <w:szCs w:val="16"/>
          <w:lang w:val="en-US"/>
        </w:rPr>
        <w:t>, secţiunea Documente suport</w:t>
      </w:r>
      <w:bookmarkStart w:id="0" w:name="_GoBack"/>
      <w:bookmarkEnd w:id="0"/>
    </w:p>
  </w:footnote>
  <w:footnote w:id="2">
    <w:p w:rsidR="004955D6" w:rsidRPr="00B449B6" w:rsidRDefault="004955D6" w:rsidP="002528CB">
      <w:pPr>
        <w:pStyle w:val="FootnoteText"/>
        <w:jc w:val="both"/>
        <w:rPr>
          <w:rFonts w:ascii="Trebuchet MS" w:hAnsi="Trebuchet MS"/>
          <w:sz w:val="16"/>
          <w:szCs w:val="16"/>
        </w:rPr>
      </w:pPr>
      <w:r w:rsidRPr="00B449B6">
        <w:rPr>
          <w:rStyle w:val="FootnoteReference"/>
          <w:rFonts w:ascii="Trebuchet MS" w:hAnsi="Trebuchet MS"/>
          <w:sz w:val="16"/>
          <w:szCs w:val="16"/>
        </w:rPr>
        <w:footnoteRef/>
      </w:r>
      <w:r w:rsidRPr="00B449B6">
        <w:rPr>
          <w:rFonts w:ascii="Trebuchet MS" w:hAnsi="Trebuchet MS"/>
          <w:sz w:val="16"/>
          <w:szCs w:val="16"/>
        </w:rPr>
        <w:t xml:space="preserve"> </w:t>
      </w:r>
      <w:r w:rsidRPr="00B449B6">
        <w:rPr>
          <w:rFonts w:ascii="Trebuchet MS" w:hAnsi="Trebuchet MS"/>
          <w:sz w:val="16"/>
          <w:szCs w:val="16"/>
        </w:rPr>
        <w:t>Punctul 14 din Comunicare a Comisiei privind noțiunea de ajutor de stat astfel cum este menționată la articolul 107 alineatul (1) din Tratatul privind funcționarea Uniunii Europene (2016/C 262/01), http://www.renascc.eu/documente/Not%20AS%20RO_1209ro.pdf</w:t>
      </w:r>
    </w:p>
  </w:footnote>
  <w:footnote w:id="3">
    <w:p w:rsidR="004955D6" w:rsidRPr="002528CB" w:rsidRDefault="004955D6" w:rsidP="002528CB">
      <w:pPr>
        <w:pStyle w:val="FootnoteText"/>
        <w:jc w:val="both"/>
        <w:rPr>
          <w:rFonts w:ascii="Trebuchet MS" w:hAnsi="Trebuchet MS"/>
          <w:sz w:val="16"/>
          <w:szCs w:val="16"/>
        </w:rPr>
      </w:pPr>
      <w:r w:rsidRPr="002528CB">
        <w:rPr>
          <w:rStyle w:val="FootnoteReference"/>
          <w:rFonts w:ascii="Trebuchet MS" w:hAnsi="Trebuchet MS"/>
          <w:sz w:val="16"/>
          <w:szCs w:val="16"/>
        </w:rPr>
        <w:footnoteRef/>
      </w:r>
      <w:r w:rsidRPr="002528CB">
        <w:rPr>
          <w:rFonts w:ascii="Trebuchet MS" w:hAnsi="Trebuchet MS"/>
          <w:sz w:val="16"/>
          <w:szCs w:val="16"/>
        </w:rPr>
        <w:t xml:space="preserve"> </w:t>
      </w:r>
      <w:r w:rsidRPr="002528CB">
        <w:rPr>
          <w:rFonts w:ascii="Trebuchet MS" w:hAnsi="Trebuchet MS"/>
          <w:sz w:val="16"/>
          <w:szCs w:val="16"/>
        </w:rPr>
        <w:t>Art. 4 din Decizia Comisiei din 20 decembrie 2011 privind aplicarea articolului 106 alineatul (2) din Tratatul privind funcționarea Uniunii Europene în cazul ajutoarelor de stat sub formă de compensații pentru obligația de</w:t>
      </w:r>
      <w:r>
        <w:t xml:space="preserve"> </w:t>
      </w:r>
      <w:r w:rsidRPr="002528CB">
        <w:rPr>
          <w:rFonts w:ascii="Trebuchet MS" w:hAnsi="Trebuchet MS"/>
          <w:sz w:val="16"/>
          <w:szCs w:val="16"/>
        </w:rPr>
        <w:t>serviciu public acordate anumitor întreprinderi cărora le-a fost încredințată prestarea unui serviciu de interes economic  general (2012/21/UE);</w:t>
      </w:r>
    </w:p>
  </w:footnote>
  <w:footnote w:id="4">
    <w:p w:rsidR="004955D6" w:rsidRPr="002528CB" w:rsidRDefault="004955D6" w:rsidP="004955D6">
      <w:pPr>
        <w:pStyle w:val="FootnoteText"/>
        <w:rPr>
          <w:rFonts w:ascii="Trebuchet MS" w:hAnsi="Trebuchet MS"/>
          <w:sz w:val="16"/>
          <w:szCs w:val="16"/>
          <w:lang w:val="en-US"/>
        </w:rPr>
      </w:pPr>
      <w:r w:rsidRPr="002528CB">
        <w:rPr>
          <w:rStyle w:val="FootnoteReference"/>
          <w:rFonts w:ascii="Trebuchet MS" w:hAnsi="Trebuchet MS"/>
          <w:sz w:val="16"/>
          <w:szCs w:val="16"/>
        </w:rPr>
        <w:footnoteRef/>
      </w:r>
      <w:r w:rsidRPr="002528CB">
        <w:rPr>
          <w:rFonts w:ascii="Trebuchet MS" w:hAnsi="Trebuchet MS"/>
          <w:sz w:val="16"/>
          <w:szCs w:val="16"/>
        </w:rPr>
        <w:t xml:space="preserve"> </w:t>
      </w:r>
      <w:r w:rsidRPr="002528CB">
        <w:rPr>
          <w:rFonts w:ascii="Trebuchet MS" w:hAnsi="Trebuchet MS"/>
          <w:sz w:val="16"/>
          <w:szCs w:val="16"/>
          <w:lang w:val="en-US"/>
        </w:rPr>
        <w:t xml:space="preserve">Nu se acceptă atribuirea </w:t>
      </w:r>
      <w:r w:rsidR="00E8573C" w:rsidRPr="002528CB">
        <w:rPr>
          <w:rFonts w:ascii="Trebuchet MS" w:hAnsi="Trebuchet MS"/>
          <w:sz w:val="16"/>
          <w:szCs w:val="16"/>
          <w:lang w:val="en-US"/>
        </w:rPr>
        <w:t>competitivă</w:t>
      </w:r>
      <w:r w:rsidRPr="002528CB">
        <w:rPr>
          <w:rFonts w:ascii="Trebuchet MS" w:hAnsi="Trebuchet MS"/>
          <w:sz w:val="16"/>
          <w:szCs w:val="16"/>
          <w:lang w:val="en-US"/>
        </w:rPr>
        <w:t xml:space="preserve"> în baza Ordinului ANRSC</w:t>
      </w:r>
      <w:r w:rsidR="00B449B6">
        <w:rPr>
          <w:rFonts w:ascii="Trebuchet MS" w:hAnsi="Trebuchet MS"/>
          <w:sz w:val="16"/>
          <w:szCs w:val="16"/>
          <w:lang w:val="en-US"/>
        </w:rPr>
        <w:t xml:space="preserve"> nr.</w:t>
      </w:r>
      <w:r w:rsidRPr="002528CB">
        <w:rPr>
          <w:rFonts w:ascii="Trebuchet MS" w:hAnsi="Trebuchet MS"/>
          <w:sz w:val="16"/>
          <w:szCs w:val="16"/>
          <w:lang w:val="en-US"/>
        </w:rPr>
        <w:t xml:space="preserve"> 263/2007;</w:t>
      </w:r>
    </w:p>
  </w:footnote>
  <w:footnote w:id="5">
    <w:p w:rsidR="004955D6" w:rsidRPr="002528CB" w:rsidRDefault="004955D6" w:rsidP="004955D6">
      <w:pPr>
        <w:pStyle w:val="FootnoteText"/>
        <w:jc w:val="both"/>
        <w:rPr>
          <w:rFonts w:ascii="Trebuchet MS" w:hAnsi="Trebuchet MS"/>
          <w:sz w:val="16"/>
          <w:szCs w:val="16"/>
          <w:lang w:val="en-US"/>
        </w:rPr>
      </w:pPr>
      <w:r w:rsidRPr="002528CB">
        <w:rPr>
          <w:rStyle w:val="FootnoteReference"/>
          <w:rFonts w:ascii="Trebuchet MS" w:hAnsi="Trebuchet MS"/>
          <w:sz w:val="16"/>
          <w:szCs w:val="16"/>
        </w:rPr>
        <w:footnoteRef/>
      </w:r>
      <w:r w:rsidRPr="002528CB">
        <w:rPr>
          <w:rFonts w:ascii="Trebuchet MS" w:hAnsi="Trebuchet MS"/>
          <w:sz w:val="16"/>
          <w:szCs w:val="16"/>
        </w:rPr>
        <w:t xml:space="preserve"> A se vedea State Aid SA.34155 – Germany – legea regională privind compensarea pentru transportul școlar în Landul  Rhineland-Palatinate</w:t>
      </w:r>
      <w:r w:rsidR="00E8573C" w:rsidRPr="002528CB">
        <w:rPr>
          <w:rFonts w:ascii="Trebuchet MS" w:hAnsi="Trebuchet MS"/>
          <w:sz w:val="16"/>
          <w:szCs w:val="16"/>
        </w:rPr>
        <w:t xml:space="preserve">, </w:t>
      </w:r>
      <w:hyperlink r:id="rId2" w:history="1">
        <w:r w:rsidR="00E8573C" w:rsidRPr="002528CB">
          <w:rPr>
            <w:rStyle w:val="Hyperlink"/>
            <w:rFonts w:ascii="Trebuchet MS" w:hAnsi="Trebuchet MS"/>
            <w:sz w:val="16"/>
            <w:szCs w:val="16"/>
          </w:rPr>
          <w:t>http://ec.europa.eu/competition/elojade/isef/</w:t>
        </w:r>
      </w:hyperlink>
      <w:r w:rsidRPr="002528CB">
        <w:rPr>
          <w:rFonts w:ascii="Trebuchet MS" w:hAnsi="Trebuchet MS"/>
          <w:sz w:val="16"/>
          <w:szCs w:val="16"/>
        </w:rPr>
        <w:t>case_details.cfm?proc_code=3_SA_34155;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DD" w:rsidRDefault="00BA2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2" w:type="dxa"/>
      <w:tblInd w:w="108" w:type="dxa"/>
      <w:tblBorders>
        <w:insideH w:val="single" w:sz="4" w:space="0" w:color="808080"/>
      </w:tblBorders>
      <w:tblLook w:val="04A0" w:firstRow="1" w:lastRow="0" w:firstColumn="1" w:lastColumn="0" w:noHBand="0" w:noVBand="1"/>
    </w:tblPr>
    <w:tblGrid>
      <w:gridCol w:w="8752"/>
    </w:tblGrid>
    <w:tr w:rsidR="00033D43" w:rsidTr="00125490">
      <w:trPr>
        <w:trHeight w:val="294"/>
      </w:trPr>
      <w:tc>
        <w:tcPr>
          <w:tcW w:w="8752" w:type="dxa"/>
          <w:tcBorders>
            <w:top w:val="nil"/>
            <w:left w:val="nil"/>
            <w:bottom w:val="single" w:sz="4" w:space="0" w:color="808080"/>
            <w:right w:val="nil"/>
          </w:tcBorders>
          <w:hideMark/>
        </w:tcPr>
        <w:p w:rsidR="00033D43" w:rsidRPr="00B3453C" w:rsidRDefault="00033D43" w:rsidP="00125490">
          <w:pPr>
            <w:rPr>
              <w:rFonts w:ascii="Trebuchet MS" w:hAnsi="Trebuchet MS"/>
              <w:color w:val="808080"/>
              <w:sz w:val="14"/>
              <w:szCs w:val="24"/>
            </w:rPr>
          </w:pPr>
          <w:r w:rsidRPr="00B3453C">
            <w:rPr>
              <w:rFonts w:ascii="Trebuchet MS" w:hAnsi="Trebuchet MS"/>
              <w:color w:val="808080"/>
              <w:sz w:val="14"/>
            </w:rPr>
            <w:t>Programul Operaţional Regional 2014-2020</w:t>
          </w:r>
        </w:p>
      </w:tc>
    </w:tr>
    <w:tr w:rsidR="00033D43" w:rsidTr="00125490">
      <w:trPr>
        <w:cantSplit/>
        <w:trHeight w:val="683"/>
      </w:trPr>
      <w:tc>
        <w:tcPr>
          <w:tcW w:w="8752" w:type="dxa"/>
          <w:tcBorders>
            <w:top w:val="single" w:sz="4" w:space="0" w:color="808080"/>
            <w:left w:val="nil"/>
            <w:bottom w:val="nil"/>
            <w:right w:val="nil"/>
          </w:tcBorders>
        </w:tcPr>
        <w:p w:rsidR="00033D43" w:rsidRPr="009C63FC" w:rsidRDefault="00033D43" w:rsidP="00125490">
          <w:pPr>
            <w:rPr>
              <w:rFonts w:ascii="Trebuchet MS" w:hAnsi="Trebuchet MS"/>
              <w:b/>
              <w:bCs/>
              <w:color w:val="808080"/>
              <w:sz w:val="14"/>
              <w:szCs w:val="24"/>
            </w:rPr>
          </w:pPr>
        </w:p>
        <w:p w:rsidR="00033D43" w:rsidRDefault="00033D43" w:rsidP="00125490">
          <w:pPr>
            <w:jc w:val="right"/>
            <w:rPr>
              <w:rFonts w:ascii="Trebuchet MS" w:hAnsi="Trebuchet MS"/>
              <w:b/>
              <w:bCs/>
              <w:color w:val="808080"/>
              <w:sz w:val="14"/>
            </w:rPr>
          </w:pPr>
          <w:r w:rsidRPr="00B3453C">
            <w:rPr>
              <w:rFonts w:ascii="Trebuchet MS" w:hAnsi="Trebuchet MS"/>
              <w:b/>
              <w:bCs/>
              <w:color w:val="808080"/>
              <w:sz w:val="14"/>
            </w:rPr>
            <w:t>Ghidul Solicitantului – Condițíi specifice de accesare a fondurilor în cadrul apelurilor de proiecte cu titlul</w:t>
          </w:r>
          <w:r w:rsidRPr="00B3453C">
            <w:rPr>
              <w:rFonts w:ascii="Trebuchet MS" w:hAnsi="Trebuchet MS"/>
            </w:rPr>
            <w:t xml:space="preserve"> </w:t>
          </w:r>
          <w:r>
            <w:rPr>
              <w:rFonts w:ascii="Trebuchet MS" w:hAnsi="Trebuchet MS"/>
              <w:b/>
              <w:bCs/>
              <w:color w:val="808080"/>
              <w:sz w:val="14"/>
            </w:rPr>
            <w:t>POR/2017/4/4.1</w:t>
          </w:r>
          <w:r w:rsidRPr="00B3453C">
            <w:rPr>
              <w:rFonts w:ascii="Trebuchet MS" w:hAnsi="Trebuchet MS"/>
              <w:b/>
              <w:bCs/>
              <w:color w:val="808080"/>
              <w:sz w:val="14"/>
            </w:rPr>
            <w:t>/1/</w:t>
          </w:r>
        </w:p>
        <w:p w:rsidR="00033D43" w:rsidRPr="00B3453C" w:rsidRDefault="00BA2FDD" w:rsidP="00125490">
          <w:pPr>
            <w:jc w:val="right"/>
            <w:rPr>
              <w:rFonts w:ascii="Trebuchet MS" w:hAnsi="Trebuchet MS"/>
              <w:b/>
              <w:bCs/>
              <w:color w:val="808080"/>
              <w:sz w:val="14"/>
              <w:szCs w:val="24"/>
            </w:rPr>
          </w:pPr>
          <w:r>
            <w:rPr>
              <w:rFonts w:ascii="Trebuchet MS" w:hAnsi="Trebuchet MS"/>
              <w:b/>
              <w:bCs/>
              <w:color w:val="808080"/>
              <w:sz w:val="14"/>
            </w:rPr>
            <w:t>Anexa 4.1.7</w:t>
          </w:r>
        </w:p>
      </w:tc>
    </w:tr>
  </w:tbl>
  <w:p w:rsidR="00033D43" w:rsidRDefault="00033D43" w:rsidP="00033D43">
    <w:pPr>
      <w:pStyle w:val="Header"/>
    </w:pPr>
  </w:p>
  <w:p w:rsidR="00033D43" w:rsidRDefault="00033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DD" w:rsidRDefault="00BA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1E67"/>
    <w:multiLevelType w:val="hybridMultilevel"/>
    <w:tmpl w:val="66E60B0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91"/>
    <w:rsid w:val="000014A2"/>
    <w:rsid w:val="00002884"/>
    <w:rsid w:val="0000568B"/>
    <w:rsid w:val="00006A1E"/>
    <w:rsid w:val="00014528"/>
    <w:rsid w:val="0001670E"/>
    <w:rsid w:val="00020255"/>
    <w:rsid w:val="000277EB"/>
    <w:rsid w:val="000326C1"/>
    <w:rsid w:val="00033D43"/>
    <w:rsid w:val="000443B5"/>
    <w:rsid w:val="000465BB"/>
    <w:rsid w:val="00053B1D"/>
    <w:rsid w:val="000577FC"/>
    <w:rsid w:val="0006318B"/>
    <w:rsid w:val="00063CF7"/>
    <w:rsid w:val="00064B02"/>
    <w:rsid w:val="00065CEC"/>
    <w:rsid w:val="0007409D"/>
    <w:rsid w:val="00075A4B"/>
    <w:rsid w:val="0008258D"/>
    <w:rsid w:val="0009030A"/>
    <w:rsid w:val="000940B1"/>
    <w:rsid w:val="0009434A"/>
    <w:rsid w:val="0009572F"/>
    <w:rsid w:val="00096AD0"/>
    <w:rsid w:val="00097988"/>
    <w:rsid w:val="000A0791"/>
    <w:rsid w:val="000A56C6"/>
    <w:rsid w:val="000A5912"/>
    <w:rsid w:val="000A74AF"/>
    <w:rsid w:val="000B7704"/>
    <w:rsid w:val="000D3A24"/>
    <w:rsid w:val="000E3708"/>
    <w:rsid w:val="000E4412"/>
    <w:rsid w:val="000E582E"/>
    <w:rsid w:val="000E5A4E"/>
    <w:rsid w:val="000F11E3"/>
    <w:rsid w:val="000F410A"/>
    <w:rsid w:val="00102A40"/>
    <w:rsid w:val="00117243"/>
    <w:rsid w:val="00125870"/>
    <w:rsid w:val="00134BE3"/>
    <w:rsid w:val="00136CA7"/>
    <w:rsid w:val="00136EEA"/>
    <w:rsid w:val="00141117"/>
    <w:rsid w:val="00141CE1"/>
    <w:rsid w:val="00146F45"/>
    <w:rsid w:val="00150044"/>
    <w:rsid w:val="00160F25"/>
    <w:rsid w:val="00166095"/>
    <w:rsid w:val="001668BB"/>
    <w:rsid w:val="00181295"/>
    <w:rsid w:val="00181EA8"/>
    <w:rsid w:val="0019115C"/>
    <w:rsid w:val="001A0846"/>
    <w:rsid w:val="001A15D0"/>
    <w:rsid w:val="001A2557"/>
    <w:rsid w:val="001A5608"/>
    <w:rsid w:val="001B2EF0"/>
    <w:rsid w:val="001B395D"/>
    <w:rsid w:val="001B52B2"/>
    <w:rsid w:val="001C063A"/>
    <w:rsid w:val="001C32DE"/>
    <w:rsid w:val="001C384A"/>
    <w:rsid w:val="001C3D5D"/>
    <w:rsid w:val="001C5F91"/>
    <w:rsid w:val="001D0372"/>
    <w:rsid w:val="001D2321"/>
    <w:rsid w:val="001D285A"/>
    <w:rsid w:val="001D2AFB"/>
    <w:rsid w:val="001D4403"/>
    <w:rsid w:val="001D4E5C"/>
    <w:rsid w:val="001E7F70"/>
    <w:rsid w:val="001F2B82"/>
    <w:rsid w:val="001F7875"/>
    <w:rsid w:val="00210971"/>
    <w:rsid w:val="002131AD"/>
    <w:rsid w:val="0021643E"/>
    <w:rsid w:val="002311DC"/>
    <w:rsid w:val="00240612"/>
    <w:rsid w:val="00241308"/>
    <w:rsid w:val="00241B42"/>
    <w:rsid w:val="0024652D"/>
    <w:rsid w:val="00247135"/>
    <w:rsid w:val="00251F08"/>
    <w:rsid w:val="002528CB"/>
    <w:rsid w:val="00253CA9"/>
    <w:rsid w:val="00256A15"/>
    <w:rsid w:val="002604BF"/>
    <w:rsid w:val="00261B85"/>
    <w:rsid w:val="00264E82"/>
    <w:rsid w:val="0026583D"/>
    <w:rsid w:val="00275F81"/>
    <w:rsid w:val="00282316"/>
    <w:rsid w:val="002831FB"/>
    <w:rsid w:val="0028344C"/>
    <w:rsid w:val="00290777"/>
    <w:rsid w:val="00294B74"/>
    <w:rsid w:val="00294F83"/>
    <w:rsid w:val="00295A24"/>
    <w:rsid w:val="00295CFC"/>
    <w:rsid w:val="002A16B8"/>
    <w:rsid w:val="002A467B"/>
    <w:rsid w:val="002A4FEB"/>
    <w:rsid w:val="002B0A27"/>
    <w:rsid w:val="002B1EA3"/>
    <w:rsid w:val="002B3361"/>
    <w:rsid w:val="002C0079"/>
    <w:rsid w:val="002C1F5C"/>
    <w:rsid w:val="002C60D7"/>
    <w:rsid w:val="002D31F1"/>
    <w:rsid w:val="002D52C7"/>
    <w:rsid w:val="002D67C0"/>
    <w:rsid w:val="002D72BC"/>
    <w:rsid w:val="002D791B"/>
    <w:rsid w:val="002E087B"/>
    <w:rsid w:val="002E3904"/>
    <w:rsid w:val="002E48D8"/>
    <w:rsid w:val="002F3B5E"/>
    <w:rsid w:val="00301DDD"/>
    <w:rsid w:val="00302280"/>
    <w:rsid w:val="00305247"/>
    <w:rsid w:val="003151C2"/>
    <w:rsid w:val="003160E8"/>
    <w:rsid w:val="003211B5"/>
    <w:rsid w:val="00321A4E"/>
    <w:rsid w:val="00336B0E"/>
    <w:rsid w:val="00346FE6"/>
    <w:rsid w:val="0035119E"/>
    <w:rsid w:val="00355C5A"/>
    <w:rsid w:val="00356D65"/>
    <w:rsid w:val="0036484A"/>
    <w:rsid w:val="00367437"/>
    <w:rsid w:val="003738F8"/>
    <w:rsid w:val="00374F50"/>
    <w:rsid w:val="003769F5"/>
    <w:rsid w:val="003804CB"/>
    <w:rsid w:val="0038098F"/>
    <w:rsid w:val="0038288F"/>
    <w:rsid w:val="0039184D"/>
    <w:rsid w:val="00392A64"/>
    <w:rsid w:val="00396FB1"/>
    <w:rsid w:val="00397200"/>
    <w:rsid w:val="003A3BFF"/>
    <w:rsid w:val="003A45C2"/>
    <w:rsid w:val="003A63A7"/>
    <w:rsid w:val="003A7131"/>
    <w:rsid w:val="003B3859"/>
    <w:rsid w:val="003B483E"/>
    <w:rsid w:val="003B4BA8"/>
    <w:rsid w:val="003B6A61"/>
    <w:rsid w:val="003C0A88"/>
    <w:rsid w:val="003C1304"/>
    <w:rsid w:val="003C3EED"/>
    <w:rsid w:val="003C4591"/>
    <w:rsid w:val="003C5308"/>
    <w:rsid w:val="003C7249"/>
    <w:rsid w:val="003D0A04"/>
    <w:rsid w:val="003D16A0"/>
    <w:rsid w:val="003D3EB1"/>
    <w:rsid w:val="003D4690"/>
    <w:rsid w:val="003D744E"/>
    <w:rsid w:val="003F714A"/>
    <w:rsid w:val="003F7569"/>
    <w:rsid w:val="00401BC3"/>
    <w:rsid w:val="00413968"/>
    <w:rsid w:val="00413D33"/>
    <w:rsid w:val="00414246"/>
    <w:rsid w:val="004147D0"/>
    <w:rsid w:val="004151E7"/>
    <w:rsid w:val="00420F11"/>
    <w:rsid w:val="004277D1"/>
    <w:rsid w:val="00427B15"/>
    <w:rsid w:val="00432965"/>
    <w:rsid w:val="00432BFC"/>
    <w:rsid w:val="00434D9E"/>
    <w:rsid w:val="0043733F"/>
    <w:rsid w:val="0044028D"/>
    <w:rsid w:val="004425B0"/>
    <w:rsid w:val="00442FC1"/>
    <w:rsid w:val="00454E0B"/>
    <w:rsid w:val="004665C6"/>
    <w:rsid w:val="00472661"/>
    <w:rsid w:val="0047344D"/>
    <w:rsid w:val="00474169"/>
    <w:rsid w:val="00480E9C"/>
    <w:rsid w:val="00491B73"/>
    <w:rsid w:val="004941A7"/>
    <w:rsid w:val="004955D6"/>
    <w:rsid w:val="00495F3E"/>
    <w:rsid w:val="004A0DD0"/>
    <w:rsid w:val="004A3D54"/>
    <w:rsid w:val="004B18A0"/>
    <w:rsid w:val="004B1F27"/>
    <w:rsid w:val="004B7F88"/>
    <w:rsid w:val="004C1F41"/>
    <w:rsid w:val="004C2C9E"/>
    <w:rsid w:val="004C3D19"/>
    <w:rsid w:val="004C65F3"/>
    <w:rsid w:val="004D0D45"/>
    <w:rsid w:val="004E01FD"/>
    <w:rsid w:val="004E3B9D"/>
    <w:rsid w:val="004F3DC9"/>
    <w:rsid w:val="004F4C75"/>
    <w:rsid w:val="004F7C6A"/>
    <w:rsid w:val="00506499"/>
    <w:rsid w:val="00506B10"/>
    <w:rsid w:val="00531062"/>
    <w:rsid w:val="00531945"/>
    <w:rsid w:val="005337FC"/>
    <w:rsid w:val="00533AA3"/>
    <w:rsid w:val="00535B16"/>
    <w:rsid w:val="00541AC6"/>
    <w:rsid w:val="00541F5A"/>
    <w:rsid w:val="0055125E"/>
    <w:rsid w:val="00554B8A"/>
    <w:rsid w:val="005647D1"/>
    <w:rsid w:val="005727F1"/>
    <w:rsid w:val="005744DC"/>
    <w:rsid w:val="00576DC7"/>
    <w:rsid w:val="0058333E"/>
    <w:rsid w:val="005838EB"/>
    <w:rsid w:val="00590E3C"/>
    <w:rsid w:val="005A28D8"/>
    <w:rsid w:val="005A6457"/>
    <w:rsid w:val="005A7418"/>
    <w:rsid w:val="005B0CD6"/>
    <w:rsid w:val="005B30EA"/>
    <w:rsid w:val="005B34D8"/>
    <w:rsid w:val="005B6B2C"/>
    <w:rsid w:val="005C130A"/>
    <w:rsid w:val="005C68F3"/>
    <w:rsid w:val="005C6B99"/>
    <w:rsid w:val="005C710B"/>
    <w:rsid w:val="005D22F9"/>
    <w:rsid w:val="005D7997"/>
    <w:rsid w:val="005D7B41"/>
    <w:rsid w:val="005E18D6"/>
    <w:rsid w:val="005E39EC"/>
    <w:rsid w:val="005E64D1"/>
    <w:rsid w:val="005F23CA"/>
    <w:rsid w:val="005F3508"/>
    <w:rsid w:val="005F456E"/>
    <w:rsid w:val="0060670B"/>
    <w:rsid w:val="00607571"/>
    <w:rsid w:val="00617AF9"/>
    <w:rsid w:val="00617C32"/>
    <w:rsid w:val="0063107B"/>
    <w:rsid w:val="00632C57"/>
    <w:rsid w:val="00633AAE"/>
    <w:rsid w:val="00642B94"/>
    <w:rsid w:val="00643320"/>
    <w:rsid w:val="00644E3E"/>
    <w:rsid w:val="00650242"/>
    <w:rsid w:val="00651A2B"/>
    <w:rsid w:val="006565E6"/>
    <w:rsid w:val="00665FC1"/>
    <w:rsid w:val="0067014D"/>
    <w:rsid w:val="00674273"/>
    <w:rsid w:val="00677D2F"/>
    <w:rsid w:val="0068021E"/>
    <w:rsid w:val="00686B92"/>
    <w:rsid w:val="0068737B"/>
    <w:rsid w:val="0069033E"/>
    <w:rsid w:val="00690853"/>
    <w:rsid w:val="0069270B"/>
    <w:rsid w:val="00694438"/>
    <w:rsid w:val="006A19B2"/>
    <w:rsid w:val="006A1F1E"/>
    <w:rsid w:val="006A69FD"/>
    <w:rsid w:val="006B15A8"/>
    <w:rsid w:val="006B2E6E"/>
    <w:rsid w:val="006B3E6A"/>
    <w:rsid w:val="006C3431"/>
    <w:rsid w:val="006D149E"/>
    <w:rsid w:val="006E562A"/>
    <w:rsid w:val="006F38DF"/>
    <w:rsid w:val="0070746D"/>
    <w:rsid w:val="00715773"/>
    <w:rsid w:val="007176AD"/>
    <w:rsid w:val="00717E6B"/>
    <w:rsid w:val="00723DB2"/>
    <w:rsid w:val="007241C1"/>
    <w:rsid w:val="00734D2C"/>
    <w:rsid w:val="00735AC4"/>
    <w:rsid w:val="0074293E"/>
    <w:rsid w:val="0074575F"/>
    <w:rsid w:val="007467DF"/>
    <w:rsid w:val="00754E70"/>
    <w:rsid w:val="00756A37"/>
    <w:rsid w:val="00766F1E"/>
    <w:rsid w:val="00770104"/>
    <w:rsid w:val="007704DB"/>
    <w:rsid w:val="00770881"/>
    <w:rsid w:val="00771A12"/>
    <w:rsid w:val="007722C5"/>
    <w:rsid w:val="007826B7"/>
    <w:rsid w:val="00783572"/>
    <w:rsid w:val="007850FD"/>
    <w:rsid w:val="00786D21"/>
    <w:rsid w:val="00786DA8"/>
    <w:rsid w:val="00792136"/>
    <w:rsid w:val="00795BED"/>
    <w:rsid w:val="007B7B32"/>
    <w:rsid w:val="007B7C5D"/>
    <w:rsid w:val="007B7E23"/>
    <w:rsid w:val="007D0206"/>
    <w:rsid w:val="007D110D"/>
    <w:rsid w:val="007D3309"/>
    <w:rsid w:val="007D72E0"/>
    <w:rsid w:val="007E048F"/>
    <w:rsid w:val="007E142A"/>
    <w:rsid w:val="007E223B"/>
    <w:rsid w:val="007E3C67"/>
    <w:rsid w:val="007E3F29"/>
    <w:rsid w:val="007E4080"/>
    <w:rsid w:val="007E5718"/>
    <w:rsid w:val="007E7296"/>
    <w:rsid w:val="007F4310"/>
    <w:rsid w:val="007F5407"/>
    <w:rsid w:val="00800414"/>
    <w:rsid w:val="00801362"/>
    <w:rsid w:val="00801C98"/>
    <w:rsid w:val="00814B10"/>
    <w:rsid w:val="008164D1"/>
    <w:rsid w:val="00821E34"/>
    <w:rsid w:val="008225E0"/>
    <w:rsid w:val="00830E44"/>
    <w:rsid w:val="0083196C"/>
    <w:rsid w:val="00831C7A"/>
    <w:rsid w:val="00833526"/>
    <w:rsid w:val="00836DA7"/>
    <w:rsid w:val="0083708C"/>
    <w:rsid w:val="00837792"/>
    <w:rsid w:val="00841CA2"/>
    <w:rsid w:val="00842905"/>
    <w:rsid w:val="0085197E"/>
    <w:rsid w:val="008556A3"/>
    <w:rsid w:val="00861F65"/>
    <w:rsid w:val="00864650"/>
    <w:rsid w:val="008654F5"/>
    <w:rsid w:val="00865956"/>
    <w:rsid w:val="008665D3"/>
    <w:rsid w:val="0087689C"/>
    <w:rsid w:val="00877747"/>
    <w:rsid w:val="00881954"/>
    <w:rsid w:val="00884786"/>
    <w:rsid w:val="0088541A"/>
    <w:rsid w:val="008857E3"/>
    <w:rsid w:val="00886B4B"/>
    <w:rsid w:val="00887398"/>
    <w:rsid w:val="008904C4"/>
    <w:rsid w:val="00895FFE"/>
    <w:rsid w:val="008A603C"/>
    <w:rsid w:val="008A7387"/>
    <w:rsid w:val="008C4A2C"/>
    <w:rsid w:val="008C6B09"/>
    <w:rsid w:val="008D378B"/>
    <w:rsid w:val="008D49BB"/>
    <w:rsid w:val="008D4E84"/>
    <w:rsid w:val="008E5E02"/>
    <w:rsid w:val="008E65E2"/>
    <w:rsid w:val="008E6C18"/>
    <w:rsid w:val="008F0BCA"/>
    <w:rsid w:val="008F135F"/>
    <w:rsid w:val="008F2B14"/>
    <w:rsid w:val="008F2F43"/>
    <w:rsid w:val="008F3226"/>
    <w:rsid w:val="008F3A0C"/>
    <w:rsid w:val="008F4910"/>
    <w:rsid w:val="00901C46"/>
    <w:rsid w:val="00901C5F"/>
    <w:rsid w:val="009037BA"/>
    <w:rsid w:val="00905E5C"/>
    <w:rsid w:val="00907F07"/>
    <w:rsid w:val="00910799"/>
    <w:rsid w:val="00911423"/>
    <w:rsid w:val="009121CC"/>
    <w:rsid w:val="00914AA0"/>
    <w:rsid w:val="00916B98"/>
    <w:rsid w:val="00916BB8"/>
    <w:rsid w:val="009176C8"/>
    <w:rsid w:val="00926CAA"/>
    <w:rsid w:val="009307AC"/>
    <w:rsid w:val="0093250C"/>
    <w:rsid w:val="009341D0"/>
    <w:rsid w:val="00940638"/>
    <w:rsid w:val="00941CBA"/>
    <w:rsid w:val="00942A43"/>
    <w:rsid w:val="00963FEE"/>
    <w:rsid w:val="00965BCD"/>
    <w:rsid w:val="00970257"/>
    <w:rsid w:val="00980D01"/>
    <w:rsid w:val="00982BA8"/>
    <w:rsid w:val="00984204"/>
    <w:rsid w:val="00990019"/>
    <w:rsid w:val="00995135"/>
    <w:rsid w:val="00996699"/>
    <w:rsid w:val="00996E97"/>
    <w:rsid w:val="009A333C"/>
    <w:rsid w:val="009A3FDD"/>
    <w:rsid w:val="009A74A5"/>
    <w:rsid w:val="009C01FE"/>
    <w:rsid w:val="009C27A1"/>
    <w:rsid w:val="009C6827"/>
    <w:rsid w:val="009D125E"/>
    <w:rsid w:val="009D2F55"/>
    <w:rsid w:val="009D7EC4"/>
    <w:rsid w:val="009E600B"/>
    <w:rsid w:val="009F01B0"/>
    <w:rsid w:val="009F0F05"/>
    <w:rsid w:val="009F5352"/>
    <w:rsid w:val="009F6B8B"/>
    <w:rsid w:val="00A02ABE"/>
    <w:rsid w:val="00A10216"/>
    <w:rsid w:val="00A12589"/>
    <w:rsid w:val="00A14CA7"/>
    <w:rsid w:val="00A153B5"/>
    <w:rsid w:val="00A17AF8"/>
    <w:rsid w:val="00A22A9B"/>
    <w:rsid w:val="00A23D5A"/>
    <w:rsid w:val="00A27E76"/>
    <w:rsid w:val="00A30DE7"/>
    <w:rsid w:val="00A31971"/>
    <w:rsid w:val="00A3582A"/>
    <w:rsid w:val="00A41103"/>
    <w:rsid w:val="00A41500"/>
    <w:rsid w:val="00A46726"/>
    <w:rsid w:val="00A515FA"/>
    <w:rsid w:val="00A56379"/>
    <w:rsid w:val="00A631D5"/>
    <w:rsid w:val="00A704FF"/>
    <w:rsid w:val="00A730EE"/>
    <w:rsid w:val="00A85C6A"/>
    <w:rsid w:val="00A916E9"/>
    <w:rsid w:val="00A9627F"/>
    <w:rsid w:val="00A976ED"/>
    <w:rsid w:val="00AA0FAE"/>
    <w:rsid w:val="00AA674C"/>
    <w:rsid w:val="00AB2BFC"/>
    <w:rsid w:val="00AB5974"/>
    <w:rsid w:val="00AB7BF8"/>
    <w:rsid w:val="00AC605A"/>
    <w:rsid w:val="00AD642D"/>
    <w:rsid w:val="00AD7951"/>
    <w:rsid w:val="00AE200C"/>
    <w:rsid w:val="00AE30CD"/>
    <w:rsid w:val="00AE3636"/>
    <w:rsid w:val="00AE3B78"/>
    <w:rsid w:val="00AF01D8"/>
    <w:rsid w:val="00AF1D72"/>
    <w:rsid w:val="00AF36B0"/>
    <w:rsid w:val="00B021A5"/>
    <w:rsid w:val="00B0248F"/>
    <w:rsid w:val="00B04BD2"/>
    <w:rsid w:val="00B1334E"/>
    <w:rsid w:val="00B1409E"/>
    <w:rsid w:val="00B25390"/>
    <w:rsid w:val="00B34672"/>
    <w:rsid w:val="00B3544B"/>
    <w:rsid w:val="00B449B6"/>
    <w:rsid w:val="00B47E5F"/>
    <w:rsid w:val="00B524D5"/>
    <w:rsid w:val="00B56430"/>
    <w:rsid w:val="00B564ED"/>
    <w:rsid w:val="00B578AE"/>
    <w:rsid w:val="00B63524"/>
    <w:rsid w:val="00B63A99"/>
    <w:rsid w:val="00B67CEC"/>
    <w:rsid w:val="00B67EB5"/>
    <w:rsid w:val="00B763D7"/>
    <w:rsid w:val="00B80289"/>
    <w:rsid w:val="00B80DE7"/>
    <w:rsid w:val="00B82C14"/>
    <w:rsid w:val="00B9578C"/>
    <w:rsid w:val="00BA1969"/>
    <w:rsid w:val="00BA20C5"/>
    <w:rsid w:val="00BA2FDD"/>
    <w:rsid w:val="00BA4083"/>
    <w:rsid w:val="00BB1C26"/>
    <w:rsid w:val="00BB24EC"/>
    <w:rsid w:val="00BB26E6"/>
    <w:rsid w:val="00BB43B5"/>
    <w:rsid w:val="00BB54DA"/>
    <w:rsid w:val="00BB7508"/>
    <w:rsid w:val="00BC04CD"/>
    <w:rsid w:val="00BC0E2D"/>
    <w:rsid w:val="00BC523E"/>
    <w:rsid w:val="00BD1A38"/>
    <w:rsid w:val="00BD2968"/>
    <w:rsid w:val="00BD2FD4"/>
    <w:rsid w:val="00BE5771"/>
    <w:rsid w:val="00BF0B28"/>
    <w:rsid w:val="00BF149C"/>
    <w:rsid w:val="00BF5646"/>
    <w:rsid w:val="00C04F0E"/>
    <w:rsid w:val="00C05B20"/>
    <w:rsid w:val="00C10C2E"/>
    <w:rsid w:val="00C125F3"/>
    <w:rsid w:val="00C147AF"/>
    <w:rsid w:val="00C2031C"/>
    <w:rsid w:val="00C24A06"/>
    <w:rsid w:val="00C25E5C"/>
    <w:rsid w:val="00C275BD"/>
    <w:rsid w:val="00C414FC"/>
    <w:rsid w:val="00C421AA"/>
    <w:rsid w:val="00C5323E"/>
    <w:rsid w:val="00C54D54"/>
    <w:rsid w:val="00C5799E"/>
    <w:rsid w:val="00C60359"/>
    <w:rsid w:val="00C63D22"/>
    <w:rsid w:val="00C6745B"/>
    <w:rsid w:val="00C71EA3"/>
    <w:rsid w:val="00C72DA6"/>
    <w:rsid w:val="00C76171"/>
    <w:rsid w:val="00C76361"/>
    <w:rsid w:val="00C77AEA"/>
    <w:rsid w:val="00C94E75"/>
    <w:rsid w:val="00CA2D4B"/>
    <w:rsid w:val="00CB4180"/>
    <w:rsid w:val="00CB4E8A"/>
    <w:rsid w:val="00CB7F25"/>
    <w:rsid w:val="00CC0211"/>
    <w:rsid w:val="00CC1C20"/>
    <w:rsid w:val="00CC5F31"/>
    <w:rsid w:val="00CC6323"/>
    <w:rsid w:val="00CC66C6"/>
    <w:rsid w:val="00CD4552"/>
    <w:rsid w:val="00CD5576"/>
    <w:rsid w:val="00CE3171"/>
    <w:rsid w:val="00CE3D4F"/>
    <w:rsid w:val="00CE61FC"/>
    <w:rsid w:val="00CE6B61"/>
    <w:rsid w:val="00CF0956"/>
    <w:rsid w:val="00CF3752"/>
    <w:rsid w:val="00CF4637"/>
    <w:rsid w:val="00CF5094"/>
    <w:rsid w:val="00D046EA"/>
    <w:rsid w:val="00D04C27"/>
    <w:rsid w:val="00D0537F"/>
    <w:rsid w:val="00D11C2E"/>
    <w:rsid w:val="00D22BC7"/>
    <w:rsid w:val="00D26361"/>
    <w:rsid w:val="00D41218"/>
    <w:rsid w:val="00D4121F"/>
    <w:rsid w:val="00D41DEF"/>
    <w:rsid w:val="00D434E9"/>
    <w:rsid w:val="00D436F8"/>
    <w:rsid w:val="00D439A5"/>
    <w:rsid w:val="00D457F2"/>
    <w:rsid w:val="00D45A15"/>
    <w:rsid w:val="00D51A32"/>
    <w:rsid w:val="00D52272"/>
    <w:rsid w:val="00D53CCB"/>
    <w:rsid w:val="00D56057"/>
    <w:rsid w:val="00D57504"/>
    <w:rsid w:val="00D65179"/>
    <w:rsid w:val="00D6562A"/>
    <w:rsid w:val="00D65F8B"/>
    <w:rsid w:val="00D67B98"/>
    <w:rsid w:val="00D71CF0"/>
    <w:rsid w:val="00D71D76"/>
    <w:rsid w:val="00D72616"/>
    <w:rsid w:val="00D808B1"/>
    <w:rsid w:val="00D85C89"/>
    <w:rsid w:val="00D900DB"/>
    <w:rsid w:val="00D925DD"/>
    <w:rsid w:val="00DB292D"/>
    <w:rsid w:val="00DB5580"/>
    <w:rsid w:val="00DB63FC"/>
    <w:rsid w:val="00DB7E5F"/>
    <w:rsid w:val="00DC0277"/>
    <w:rsid w:val="00DC0B28"/>
    <w:rsid w:val="00DE15F5"/>
    <w:rsid w:val="00DE2DE8"/>
    <w:rsid w:val="00E00AFF"/>
    <w:rsid w:val="00E00B6C"/>
    <w:rsid w:val="00E03BA1"/>
    <w:rsid w:val="00E068C9"/>
    <w:rsid w:val="00E108E5"/>
    <w:rsid w:val="00E11C97"/>
    <w:rsid w:val="00E12990"/>
    <w:rsid w:val="00E1617B"/>
    <w:rsid w:val="00E20A38"/>
    <w:rsid w:val="00E30DEA"/>
    <w:rsid w:val="00E364BB"/>
    <w:rsid w:val="00E43FAB"/>
    <w:rsid w:val="00E557A3"/>
    <w:rsid w:val="00E566D6"/>
    <w:rsid w:val="00E57C46"/>
    <w:rsid w:val="00E608CD"/>
    <w:rsid w:val="00E61D74"/>
    <w:rsid w:val="00E6293D"/>
    <w:rsid w:val="00E65A49"/>
    <w:rsid w:val="00E66267"/>
    <w:rsid w:val="00E70BCC"/>
    <w:rsid w:val="00E7281D"/>
    <w:rsid w:val="00E73722"/>
    <w:rsid w:val="00E80218"/>
    <w:rsid w:val="00E808F1"/>
    <w:rsid w:val="00E81F67"/>
    <w:rsid w:val="00E82671"/>
    <w:rsid w:val="00E8573C"/>
    <w:rsid w:val="00E91296"/>
    <w:rsid w:val="00E95152"/>
    <w:rsid w:val="00E95B8E"/>
    <w:rsid w:val="00EA1E27"/>
    <w:rsid w:val="00EA2106"/>
    <w:rsid w:val="00EA5BBA"/>
    <w:rsid w:val="00EA6DC9"/>
    <w:rsid w:val="00EB17F4"/>
    <w:rsid w:val="00EB402E"/>
    <w:rsid w:val="00EB4576"/>
    <w:rsid w:val="00EB5362"/>
    <w:rsid w:val="00EB6BD8"/>
    <w:rsid w:val="00EC0894"/>
    <w:rsid w:val="00EC3E62"/>
    <w:rsid w:val="00ED1797"/>
    <w:rsid w:val="00ED1B18"/>
    <w:rsid w:val="00ED2095"/>
    <w:rsid w:val="00EE5FBB"/>
    <w:rsid w:val="00EF0EE7"/>
    <w:rsid w:val="00EF15AD"/>
    <w:rsid w:val="00EF30C3"/>
    <w:rsid w:val="00EF3A68"/>
    <w:rsid w:val="00EF40CC"/>
    <w:rsid w:val="00EF55C2"/>
    <w:rsid w:val="00F02945"/>
    <w:rsid w:val="00F04B42"/>
    <w:rsid w:val="00F10662"/>
    <w:rsid w:val="00F15B3A"/>
    <w:rsid w:val="00F349E0"/>
    <w:rsid w:val="00F34F8A"/>
    <w:rsid w:val="00F43413"/>
    <w:rsid w:val="00F44A20"/>
    <w:rsid w:val="00F508E1"/>
    <w:rsid w:val="00F577F0"/>
    <w:rsid w:val="00F609B8"/>
    <w:rsid w:val="00F65618"/>
    <w:rsid w:val="00F71271"/>
    <w:rsid w:val="00F832C5"/>
    <w:rsid w:val="00F8420F"/>
    <w:rsid w:val="00F97209"/>
    <w:rsid w:val="00F97E2C"/>
    <w:rsid w:val="00FA5C72"/>
    <w:rsid w:val="00FA60AB"/>
    <w:rsid w:val="00FB17E2"/>
    <w:rsid w:val="00FB39B7"/>
    <w:rsid w:val="00FC2AC0"/>
    <w:rsid w:val="00FC47D6"/>
    <w:rsid w:val="00FD30E3"/>
    <w:rsid w:val="00FE0FFE"/>
    <w:rsid w:val="00FE2CCC"/>
    <w:rsid w:val="00FE77A9"/>
    <w:rsid w:val="00FF48CE"/>
    <w:rsid w:val="00FF4BFA"/>
    <w:rsid w:val="00FF70C6"/>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5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5D6"/>
    <w:rPr>
      <w:noProof/>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4955D6"/>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955D6"/>
    <w:pPr>
      <w:spacing w:after="160" w:line="240" w:lineRule="exact"/>
    </w:pPr>
    <w:rPr>
      <w:noProof w:val="0"/>
      <w:vertAlign w:val="superscript"/>
    </w:rPr>
  </w:style>
  <w:style w:type="character" w:styleId="Hyperlink">
    <w:name w:val="Hyperlink"/>
    <w:basedOn w:val="DefaultParagraphFont"/>
    <w:uiPriority w:val="99"/>
    <w:unhideWhenUsed/>
    <w:rsid w:val="00E8573C"/>
    <w:rPr>
      <w:color w:val="0000FF" w:themeColor="hyperlink"/>
      <w:u w:val="single"/>
    </w:rPr>
  </w:style>
  <w:style w:type="paragraph" w:styleId="Header">
    <w:name w:val="header"/>
    <w:basedOn w:val="Normal"/>
    <w:link w:val="HeaderChar"/>
    <w:uiPriority w:val="99"/>
    <w:unhideWhenUsed/>
    <w:rsid w:val="00033D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D43"/>
    <w:rPr>
      <w:noProof/>
    </w:rPr>
  </w:style>
  <w:style w:type="paragraph" w:styleId="Footer">
    <w:name w:val="footer"/>
    <w:basedOn w:val="Normal"/>
    <w:link w:val="FooterChar"/>
    <w:uiPriority w:val="99"/>
    <w:unhideWhenUsed/>
    <w:rsid w:val="00033D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D43"/>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5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5D6"/>
    <w:rPr>
      <w:noProof/>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4955D6"/>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955D6"/>
    <w:pPr>
      <w:spacing w:after="160" w:line="240" w:lineRule="exact"/>
    </w:pPr>
    <w:rPr>
      <w:noProof w:val="0"/>
      <w:vertAlign w:val="superscript"/>
    </w:rPr>
  </w:style>
  <w:style w:type="character" w:styleId="Hyperlink">
    <w:name w:val="Hyperlink"/>
    <w:basedOn w:val="DefaultParagraphFont"/>
    <w:uiPriority w:val="99"/>
    <w:unhideWhenUsed/>
    <w:rsid w:val="00E8573C"/>
    <w:rPr>
      <w:color w:val="0000FF" w:themeColor="hyperlink"/>
      <w:u w:val="single"/>
    </w:rPr>
  </w:style>
  <w:style w:type="paragraph" w:styleId="Header">
    <w:name w:val="header"/>
    <w:basedOn w:val="Normal"/>
    <w:link w:val="HeaderChar"/>
    <w:uiPriority w:val="99"/>
    <w:unhideWhenUsed/>
    <w:rsid w:val="00033D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D43"/>
    <w:rPr>
      <w:noProof/>
    </w:rPr>
  </w:style>
  <w:style w:type="paragraph" w:styleId="Footer">
    <w:name w:val="footer"/>
    <w:basedOn w:val="Normal"/>
    <w:link w:val="FooterChar"/>
    <w:uiPriority w:val="99"/>
    <w:unhideWhenUsed/>
    <w:rsid w:val="00033D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D4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elojade/isef/" TargetMode="External"/><Relationship Id="rId1" Type="http://schemas.openxmlformats.org/officeDocument/2006/relationships/hyperlink" Target="http://www.inforegi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A234-7E18-469A-AF3F-B56BCF46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1119</Words>
  <Characters>6496</Characters>
  <Application>Microsoft Office Word</Application>
  <DocSecurity>0</DocSecurity>
  <Lines>54</Lines>
  <Paragraphs>15</Paragraphs>
  <ScaleCrop>false</ScaleCrop>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Tiplic</dc:creator>
  <cp:keywords/>
  <dc:description/>
  <cp:lastModifiedBy>Amalia Tiplic</cp:lastModifiedBy>
  <cp:revision>10</cp:revision>
  <dcterms:created xsi:type="dcterms:W3CDTF">2017-02-07T15:07:00Z</dcterms:created>
  <dcterms:modified xsi:type="dcterms:W3CDTF">2017-02-21T13:55:00Z</dcterms:modified>
</cp:coreProperties>
</file>